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603A" w:rsidRPr="001A603A" w:rsidRDefault="001A603A" w:rsidP="001A603A">
      <w:pPr>
        <w:spacing w:after="0" w:line="750" w:lineRule="atLeast"/>
        <w:textAlignment w:val="baseline"/>
        <w:outlineLvl w:val="0"/>
        <w:rPr>
          <w:rFonts w:ascii="Arial" w:eastAsia="Times New Roman" w:hAnsi="Arial" w:cs="Arial"/>
          <w:b/>
          <w:bCs/>
          <w:color w:val="303030"/>
          <w:kern w:val="36"/>
          <w:sz w:val="60"/>
          <w:szCs w:val="60"/>
        </w:rPr>
      </w:pPr>
      <w:r w:rsidRPr="001A603A">
        <w:rPr>
          <w:rFonts w:ascii="Arial" w:eastAsia="Times New Roman" w:hAnsi="Arial" w:cs="Arial"/>
          <w:b/>
          <w:bCs/>
          <w:color w:val="303030"/>
          <w:kern w:val="36"/>
          <w:sz w:val="60"/>
          <w:szCs w:val="60"/>
          <w:rtl/>
        </w:rPr>
        <w:t>אל אנטיגונֵה ומעבר לה</w:t>
      </w:r>
    </w:p>
    <w:p w:rsidR="001A603A" w:rsidRPr="001A603A" w:rsidRDefault="001A603A" w:rsidP="001A603A">
      <w:pPr>
        <w:spacing w:after="0" w:line="405" w:lineRule="atLeast"/>
        <w:jc w:val="center"/>
        <w:textAlignment w:val="baseline"/>
        <w:rPr>
          <w:rFonts w:ascii="Arial" w:eastAsia="Times New Roman" w:hAnsi="Arial" w:cs="Arial"/>
          <w:color w:val="303030"/>
          <w:sz w:val="27"/>
          <w:szCs w:val="27"/>
        </w:rPr>
      </w:pPr>
      <w:bookmarkStart w:id="0" w:name="_GoBack"/>
      <w:bookmarkEnd w:id="0"/>
      <w:r w:rsidRPr="001A603A">
        <w:rPr>
          <w:rFonts w:ascii="Arial" w:eastAsia="Times New Roman" w:hAnsi="Arial" w:cs="Arial"/>
          <w:b/>
          <w:bCs/>
          <w:color w:val="303030"/>
          <w:sz w:val="27"/>
          <w:szCs w:val="27"/>
          <w:bdr w:val="none" w:sz="0" w:space="0" w:color="auto" w:frame="1"/>
          <w:rtl/>
        </w:rPr>
        <w:t>השתיקה של אימא</w:t>
      </w:r>
      <w:r w:rsidRPr="001A603A">
        <w:rPr>
          <w:rFonts w:ascii="Arial" w:eastAsia="Times New Roman" w:hAnsi="Arial" w:cs="Arial"/>
          <w:color w:val="303030"/>
          <w:sz w:val="27"/>
          <w:szCs w:val="27"/>
          <w:bdr w:val="none" w:sz="0" w:space="0" w:color="auto" w:frame="1"/>
          <w:rtl/>
        </w:rPr>
        <w:t>, מיכל גוברין, עם עובד, 548 עמודים, 2026.</w:t>
      </w:r>
    </w:p>
    <w:p w:rsidR="001A603A" w:rsidRPr="001A603A" w:rsidRDefault="001A603A" w:rsidP="001A603A">
      <w:pPr>
        <w:spacing w:after="0" w:line="405" w:lineRule="atLeast"/>
        <w:jc w:val="center"/>
        <w:textAlignment w:val="baseline"/>
        <w:rPr>
          <w:rFonts w:ascii="Arial" w:eastAsia="Times New Roman" w:hAnsi="Arial" w:cs="Arial"/>
          <w:color w:val="303030"/>
          <w:sz w:val="27"/>
          <w:szCs w:val="27"/>
          <w:rtl/>
        </w:rPr>
      </w:pPr>
      <w:r w:rsidRPr="001A603A">
        <w:rPr>
          <w:rFonts w:ascii="Arial" w:eastAsia="Times New Roman" w:hAnsi="Arial" w:cs="Arial"/>
          <w:color w:val="303030"/>
          <w:sz w:val="27"/>
          <w:szCs w:val="27"/>
          <w:bdr w:val="none" w:sz="0" w:space="0" w:color="auto" w:frame="1"/>
          <w:rtl/>
        </w:rPr>
        <w:br/>
      </w:r>
    </w:p>
    <w:p w:rsidR="001A603A" w:rsidRPr="001A603A" w:rsidRDefault="001A603A" w:rsidP="001A603A">
      <w:pPr>
        <w:spacing w:after="0" w:line="405" w:lineRule="atLeast"/>
        <w:jc w:val="center"/>
        <w:textAlignment w:val="baseline"/>
        <w:rPr>
          <w:rFonts w:ascii="Arial" w:eastAsia="Times New Roman" w:hAnsi="Arial" w:cs="Arial"/>
          <w:color w:val="303030"/>
          <w:sz w:val="27"/>
          <w:szCs w:val="27"/>
          <w:rtl/>
        </w:rPr>
      </w:pPr>
      <w:r w:rsidRPr="001A603A">
        <w:rPr>
          <w:rFonts w:ascii="Arial" w:eastAsia="Times New Roman" w:hAnsi="Arial" w:cs="Arial"/>
          <w:color w:val="FFB700"/>
          <w:sz w:val="27"/>
          <w:szCs w:val="27"/>
          <w:bdr w:val="none" w:sz="0" w:space="0" w:color="auto" w:frame="1"/>
          <w:shd w:val="clear" w:color="auto" w:fill="303030"/>
          <w:rtl/>
        </w:rPr>
        <w:t>שלוש מחשבות על הרומן החדש של מיכל גוֹברין, המתחקה אחר חייה של אם ניצולת שואה ופעילה בתנועת הבריחה מאירופה, ותוך כדי כך חושף אח אבוד.</w:t>
      </w:r>
    </w:p>
    <w:p w:rsidR="001A603A" w:rsidRPr="001A603A" w:rsidRDefault="001A603A" w:rsidP="001A603A">
      <w:pPr>
        <w:spacing w:after="0" w:line="405" w:lineRule="atLeast"/>
        <w:jc w:val="center"/>
        <w:textAlignment w:val="baseline"/>
        <w:rPr>
          <w:rFonts w:ascii="Arial" w:eastAsia="Times New Roman" w:hAnsi="Arial" w:cs="Arial"/>
          <w:color w:val="303030"/>
          <w:sz w:val="27"/>
          <w:szCs w:val="27"/>
          <w:rtl/>
        </w:rPr>
      </w:pPr>
      <w:r w:rsidRPr="001A603A">
        <w:rPr>
          <w:rFonts w:ascii="Arial" w:eastAsia="Times New Roman" w:hAnsi="Arial" w:cs="Arial"/>
          <w:color w:val="303030"/>
          <w:sz w:val="27"/>
          <w:szCs w:val="27"/>
          <w:bdr w:val="none" w:sz="0" w:space="0" w:color="auto" w:frame="1"/>
          <w:rtl/>
        </w:rPr>
        <w:br/>
      </w:r>
    </w:p>
    <w:p w:rsidR="001A603A" w:rsidRPr="001A603A" w:rsidRDefault="001A603A" w:rsidP="001A603A">
      <w:pPr>
        <w:spacing w:after="0" w:line="405" w:lineRule="atLeast"/>
        <w:textAlignment w:val="baseline"/>
        <w:outlineLvl w:val="2"/>
        <w:rPr>
          <w:rFonts w:ascii="Arial" w:eastAsia="Times New Roman" w:hAnsi="Arial" w:cs="Arial"/>
          <w:b/>
          <w:bCs/>
          <w:color w:val="303030"/>
          <w:sz w:val="33"/>
          <w:szCs w:val="33"/>
          <w:rtl/>
        </w:rPr>
      </w:pPr>
      <w:r w:rsidRPr="001A603A">
        <w:rPr>
          <w:rFonts w:ascii="Arial" w:eastAsia="Times New Roman" w:hAnsi="Arial" w:cs="Arial"/>
          <w:b/>
          <w:bCs/>
          <w:color w:val="303030"/>
          <w:sz w:val="33"/>
          <w:szCs w:val="33"/>
          <w:bdr w:val="none" w:sz="0" w:space="0" w:color="auto" w:frame="1"/>
          <w:rtl/>
        </w:rPr>
        <w:t>גדעון טיקוצקי</w:t>
      </w:r>
    </w:p>
    <w:p w:rsidR="001A603A" w:rsidRPr="001A603A" w:rsidRDefault="001A603A" w:rsidP="001A603A">
      <w:pPr>
        <w:spacing w:after="0" w:line="405" w:lineRule="atLeast"/>
        <w:textAlignment w:val="baseline"/>
        <w:rPr>
          <w:rFonts w:ascii="Arial" w:eastAsia="Times New Roman" w:hAnsi="Arial" w:cs="Arial"/>
          <w:color w:val="303030"/>
          <w:sz w:val="27"/>
          <w:szCs w:val="27"/>
          <w:rtl/>
        </w:rPr>
      </w:pPr>
      <w:r w:rsidRPr="001A603A">
        <w:rPr>
          <w:rFonts w:ascii="Arial" w:eastAsia="Times New Roman" w:hAnsi="Arial" w:cs="Arial"/>
          <w:color w:val="303030"/>
          <w:sz w:val="27"/>
          <w:szCs w:val="27"/>
          <w:bdr w:val="none" w:sz="0" w:space="0" w:color="auto" w:frame="1"/>
          <w:rtl/>
        </w:rPr>
        <w:br/>
      </w:r>
    </w:p>
    <w:p w:rsidR="001A603A" w:rsidRPr="001A603A" w:rsidRDefault="001A603A" w:rsidP="001A603A">
      <w:pPr>
        <w:spacing w:after="0" w:line="405" w:lineRule="atLeast"/>
        <w:textAlignment w:val="baseline"/>
        <w:outlineLvl w:val="1"/>
        <w:rPr>
          <w:rFonts w:ascii="Arial" w:eastAsia="Times New Roman" w:hAnsi="Arial" w:cs="Arial"/>
          <w:b/>
          <w:bCs/>
          <w:color w:val="EDDD4E"/>
          <w:sz w:val="33"/>
          <w:szCs w:val="33"/>
          <w:rtl/>
        </w:rPr>
      </w:pPr>
      <w:r w:rsidRPr="001A603A">
        <w:rPr>
          <w:rFonts w:ascii="Arial" w:eastAsia="Times New Roman" w:hAnsi="Arial" w:cs="Arial"/>
          <w:b/>
          <w:bCs/>
          <w:color w:val="000000"/>
          <w:sz w:val="33"/>
          <w:szCs w:val="33"/>
          <w:bdr w:val="none" w:sz="0" w:space="0" w:color="auto" w:frame="1"/>
          <w:rtl/>
        </w:rPr>
        <w:t>מחשבה ראשונה: זיכרון, שִכחה ושתיקה</w:t>
      </w:r>
    </w:p>
    <w:p w:rsidR="001A603A" w:rsidRPr="001A603A" w:rsidRDefault="001A603A" w:rsidP="001A603A">
      <w:pPr>
        <w:spacing w:after="0" w:line="405" w:lineRule="atLeast"/>
        <w:textAlignment w:val="baseline"/>
        <w:rPr>
          <w:rFonts w:ascii="Arial" w:eastAsia="Times New Roman" w:hAnsi="Arial" w:cs="Arial"/>
          <w:color w:val="303030"/>
          <w:sz w:val="27"/>
          <w:szCs w:val="27"/>
          <w:rtl/>
        </w:rPr>
      </w:pPr>
      <w:r w:rsidRPr="001A603A">
        <w:rPr>
          <w:rFonts w:ascii="Arial" w:eastAsia="Times New Roman" w:hAnsi="Arial" w:cs="Arial"/>
          <w:color w:val="000000"/>
          <w:sz w:val="27"/>
          <w:szCs w:val="27"/>
          <w:bdr w:val="none" w:sz="0" w:space="0" w:color="auto" w:frame="1"/>
          <w:rtl/>
        </w:rPr>
        <w:t xml:space="preserve">אנטיגונֵה זוכרת ומזכירה את שהכול היו מעדיפים לשכוח. אנטיגונה מקוננת על אחִיה שלא זכה לקבר. כאן, בספרה של גוברין </w:t>
      </w:r>
      <w:r w:rsidRPr="001A603A">
        <w:rPr>
          <w:rFonts w:ascii="Arial" w:eastAsia="Times New Roman" w:hAnsi="Arial" w:cs="Arial"/>
          <w:b/>
          <w:bCs/>
          <w:color w:val="000000"/>
          <w:sz w:val="27"/>
          <w:szCs w:val="27"/>
          <w:bdr w:val="none" w:sz="0" w:space="0" w:color="auto" w:frame="1"/>
          <w:rtl/>
        </w:rPr>
        <w:t>השתיקה של אמא</w:t>
      </w:r>
      <w:r w:rsidRPr="001A603A">
        <w:rPr>
          <w:rFonts w:ascii="Arial" w:eastAsia="Times New Roman" w:hAnsi="Arial" w:cs="Arial"/>
          <w:color w:val="000000"/>
          <w:sz w:val="27"/>
          <w:szCs w:val="27"/>
          <w:bdr w:val="none" w:sz="0" w:space="0" w:color="auto" w:frame="1"/>
          <w:rtl/>
        </w:rPr>
        <w:t>, הוחלף המשולש שיצר סופוקלס במאה החמישית לפני הספירה – אחות–אח מת–דוד עריץ, אנטיגונה–פּוֹלינֵיקֵס–קריאון – במשולש של אחות–אח מת–אם: המספרת, מארֶק והאם רֵגָה־רגינה לַאוּבּ־גוֹברין.</w:t>
      </w:r>
    </w:p>
    <w:p w:rsidR="001A603A" w:rsidRPr="001A603A" w:rsidRDefault="001A603A" w:rsidP="001A603A">
      <w:pPr>
        <w:spacing w:after="0" w:line="405" w:lineRule="atLeast"/>
        <w:textAlignment w:val="baseline"/>
        <w:rPr>
          <w:rFonts w:ascii="Arial" w:eastAsia="Times New Roman" w:hAnsi="Arial" w:cs="Arial"/>
          <w:color w:val="303030"/>
          <w:sz w:val="27"/>
          <w:szCs w:val="27"/>
          <w:rtl/>
        </w:rPr>
      </w:pPr>
      <w:r w:rsidRPr="001A603A">
        <w:rPr>
          <w:rFonts w:ascii="Arial" w:eastAsia="Times New Roman" w:hAnsi="Arial" w:cs="Arial"/>
          <w:color w:val="303030"/>
          <w:sz w:val="27"/>
          <w:szCs w:val="27"/>
          <w:bdr w:val="none" w:sz="0" w:space="0" w:color="auto" w:frame="1"/>
          <w:rtl/>
        </w:rPr>
        <w:br/>
      </w:r>
    </w:p>
    <w:p w:rsidR="001A603A" w:rsidRPr="001A603A" w:rsidRDefault="001A603A" w:rsidP="001A603A">
      <w:pPr>
        <w:spacing w:after="0" w:line="405" w:lineRule="atLeast"/>
        <w:textAlignment w:val="baseline"/>
        <w:rPr>
          <w:rFonts w:ascii="Arial" w:eastAsia="Times New Roman" w:hAnsi="Arial" w:cs="Arial"/>
          <w:color w:val="303030"/>
          <w:sz w:val="27"/>
          <w:szCs w:val="27"/>
          <w:rtl/>
        </w:rPr>
      </w:pPr>
      <w:r w:rsidRPr="001A603A">
        <w:rPr>
          <w:rFonts w:ascii="Arial" w:eastAsia="Times New Roman" w:hAnsi="Arial" w:cs="Arial"/>
          <w:color w:val="000000"/>
          <w:sz w:val="27"/>
          <w:szCs w:val="27"/>
          <w:bdr w:val="none" w:sz="0" w:space="0" w:color="auto" w:frame="1"/>
          <w:rtl/>
        </w:rPr>
        <w:t>בַּטרגדיה, לפי הפרשנות הנודעת של הֶגֶל, אנטיגונה מעמתת במרדה העיקש את החוזה המשפחתי עם החוזה הפוליטי, את מוסר המשפחה עם חוק המדינה. ואילו אנטיגונה שבספר מתמרדת נגד חוק האם – לשכוח, לשתוק. האֵם הסירה את הזיכרון מגופה, את המספר המקועקע. לעומת חוק האם השותקת־כדי־לחיות מעמידה המספרת את חוק האב (לאו דווקא הביוגרפי): לזכור ולהזכיר. "זָכוֹר אֵת אֲשֶׁר עָשָׂה לְךָ עֲמָלֵק בַּדֶּרֶךְ בְּצֵאתְכֶם מִמִּצְרָיִם". ומנגד: "זָכוֹר אֶת הַיּוֹם הַזֶּה אֲשֶׁר יְצָאתֶם מִמִּצְרַיִם מִבֵּית עֲבָדִים". או: "זָכוֹר אֶת יוֹם הַשַּׁבָּת לְקַדְּשׁוֹ". אותו זָכור, שיוסף חיים ירושלמי טען שהוא־הוא שורש התרבות היהודית.</w:t>
      </w:r>
    </w:p>
    <w:p w:rsidR="001A603A" w:rsidRPr="001A603A" w:rsidRDefault="001A603A" w:rsidP="001A603A">
      <w:pPr>
        <w:spacing w:after="0" w:line="405" w:lineRule="atLeast"/>
        <w:textAlignment w:val="baseline"/>
        <w:rPr>
          <w:rFonts w:ascii="Arial" w:eastAsia="Times New Roman" w:hAnsi="Arial" w:cs="Arial"/>
          <w:color w:val="303030"/>
          <w:sz w:val="27"/>
          <w:szCs w:val="27"/>
          <w:rtl/>
        </w:rPr>
      </w:pPr>
      <w:r w:rsidRPr="001A603A">
        <w:rPr>
          <w:rFonts w:ascii="Arial" w:eastAsia="Times New Roman" w:hAnsi="Arial" w:cs="Arial"/>
          <w:color w:val="303030"/>
          <w:sz w:val="27"/>
          <w:szCs w:val="27"/>
          <w:bdr w:val="none" w:sz="0" w:space="0" w:color="auto" w:frame="1"/>
          <w:rtl/>
        </w:rPr>
        <w:br/>
      </w:r>
    </w:p>
    <w:p w:rsidR="001A603A" w:rsidRPr="001A603A" w:rsidRDefault="001A603A" w:rsidP="001A603A">
      <w:pPr>
        <w:spacing w:after="0" w:line="405" w:lineRule="atLeast"/>
        <w:textAlignment w:val="baseline"/>
        <w:rPr>
          <w:rFonts w:ascii="Arial" w:eastAsia="Times New Roman" w:hAnsi="Arial" w:cs="Arial"/>
          <w:color w:val="303030"/>
          <w:sz w:val="27"/>
          <w:szCs w:val="27"/>
          <w:rtl/>
        </w:rPr>
      </w:pPr>
      <w:r w:rsidRPr="001A603A">
        <w:rPr>
          <w:rFonts w:ascii="Arial" w:eastAsia="Times New Roman" w:hAnsi="Arial" w:cs="Arial"/>
          <w:color w:val="000000"/>
          <w:sz w:val="27"/>
          <w:szCs w:val="27"/>
          <w:bdr w:val="none" w:sz="0" w:space="0" w:color="auto" w:frame="1"/>
          <w:rtl/>
        </w:rPr>
        <w:t xml:space="preserve">ההיזכרות והכתיבה שהצמיחו את הספר נענים לציווי זה, אך פירושם לכאורה בגידה באם. בכך הספר של גוברין מצטרף אל שורה מרשימה של יצירות בסיפורת הישראלית, שנכתבו רובן בידי סופרים־גברים, דוגמת </w:t>
      </w:r>
      <w:r w:rsidRPr="001A603A">
        <w:rPr>
          <w:rFonts w:ascii="Arial" w:eastAsia="Times New Roman" w:hAnsi="Arial" w:cs="Arial"/>
          <w:b/>
          <w:bCs/>
          <w:color w:val="000000"/>
          <w:sz w:val="27"/>
          <w:szCs w:val="27"/>
          <w:bdr w:val="none" w:sz="0" w:space="0" w:color="auto" w:frame="1"/>
          <w:rtl/>
        </w:rPr>
        <w:t>חבלים</w:t>
      </w:r>
      <w:r w:rsidRPr="001A603A">
        <w:rPr>
          <w:rFonts w:ascii="Arial" w:eastAsia="Times New Roman" w:hAnsi="Arial" w:cs="Arial"/>
          <w:color w:val="000000"/>
          <w:sz w:val="27"/>
          <w:szCs w:val="27"/>
          <w:bdr w:val="none" w:sz="0" w:space="0" w:color="auto" w:frame="1"/>
          <w:rtl/>
        </w:rPr>
        <w:t xml:space="preserve"> מאת חיים באר (1998) או </w:t>
      </w:r>
      <w:r w:rsidRPr="001A603A">
        <w:rPr>
          <w:rFonts w:ascii="Arial" w:eastAsia="Times New Roman" w:hAnsi="Arial" w:cs="Arial"/>
          <w:b/>
          <w:bCs/>
          <w:color w:val="000000"/>
          <w:sz w:val="27"/>
          <w:szCs w:val="27"/>
          <w:bdr w:val="none" w:sz="0" w:space="0" w:color="auto" w:frame="1"/>
          <w:rtl/>
        </w:rPr>
        <w:t>סיפור על אהבה וחושך</w:t>
      </w:r>
      <w:r w:rsidRPr="001A603A">
        <w:rPr>
          <w:rFonts w:ascii="Arial" w:eastAsia="Times New Roman" w:hAnsi="Arial" w:cs="Arial"/>
          <w:color w:val="000000"/>
          <w:sz w:val="27"/>
          <w:szCs w:val="27"/>
          <w:bdr w:val="none" w:sz="0" w:space="0" w:color="auto" w:frame="1"/>
          <w:rtl/>
        </w:rPr>
        <w:t xml:space="preserve"> מאת עמוס עוז (2002), יצירות המסגירות את סודות המשפחה ובוגדות </w:t>
      </w:r>
      <w:r w:rsidRPr="001A603A">
        <w:rPr>
          <w:rFonts w:ascii="Arial" w:eastAsia="Times New Roman" w:hAnsi="Arial" w:cs="Arial"/>
          <w:color w:val="000000"/>
          <w:sz w:val="27"/>
          <w:szCs w:val="27"/>
          <w:bdr w:val="none" w:sz="0" w:space="0" w:color="auto" w:frame="1"/>
          <w:rtl/>
        </w:rPr>
        <w:lastRenderedPageBreak/>
        <w:t>בה כביכול אך למעשה מנציחות אותה. אלא שכאן נלווה למסע בעקבות הסוד ממד ברור של סכנה, מחמת הקרינה הרדיואקטיבית של השואה, העלולה לכלות את המתחקים מקרוב מדי אחר הנשורת העולמית שהותירה.</w:t>
      </w:r>
    </w:p>
    <w:p w:rsidR="001A603A" w:rsidRPr="001A603A" w:rsidRDefault="001A603A" w:rsidP="001A603A">
      <w:pPr>
        <w:spacing w:after="0" w:line="405" w:lineRule="atLeast"/>
        <w:textAlignment w:val="baseline"/>
        <w:rPr>
          <w:rFonts w:ascii="Arial" w:eastAsia="Times New Roman" w:hAnsi="Arial" w:cs="Arial"/>
          <w:color w:val="303030"/>
          <w:sz w:val="27"/>
          <w:szCs w:val="27"/>
          <w:rtl/>
        </w:rPr>
      </w:pPr>
      <w:r w:rsidRPr="001A603A">
        <w:rPr>
          <w:rFonts w:ascii="Arial" w:eastAsia="Times New Roman" w:hAnsi="Arial" w:cs="Arial"/>
          <w:color w:val="303030"/>
          <w:sz w:val="27"/>
          <w:szCs w:val="27"/>
          <w:bdr w:val="none" w:sz="0" w:space="0" w:color="auto" w:frame="1"/>
          <w:rtl/>
        </w:rPr>
        <w:br/>
      </w:r>
    </w:p>
    <w:p w:rsidR="001A603A" w:rsidRPr="001A603A" w:rsidRDefault="001A603A" w:rsidP="001A603A">
      <w:pPr>
        <w:spacing w:after="0" w:line="405" w:lineRule="atLeast"/>
        <w:textAlignment w:val="baseline"/>
        <w:rPr>
          <w:rFonts w:ascii="Arial" w:eastAsia="Times New Roman" w:hAnsi="Arial" w:cs="Arial"/>
          <w:color w:val="303030"/>
          <w:sz w:val="27"/>
          <w:szCs w:val="27"/>
          <w:rtl/>
        </w:rPr>
      </w:pPr>
      <w:r w:rsidRPr="001A603A">
        <w:rPr>
          <w:rFonts w:ascii="Arial" w:eastAsia="Times New Roman" w:hAnsi="Arial" w:cs="Arial"/>
          <w:color w:val="000000"/>
          <w:sz w:val="27"/>
          <w:szCs w:val="27"/>
          <w:bdr w:val="none" w:sz="0" w:space="0" w:color="auto" w:frame="1"/>
          <w:rtl/>
        </w:rPr>
        <w:t>הדרך הננקטת כאן לחמיקה מן הסכנה היא הבדיון, שלא רק ממלא פערים בסיפור ומקרב אותו אלינו, הקוראים והקוראים, אלא גם מתמרד כנגד הלקוניות של ההיסטוריה, כנגד חד־משמעיותה הלכאורית. "זיכרוננו הוא משורר", כתב פול ז'רלדי באחד משיריו, והמשיך בפנותו אל אהובתו, "אל תעשיהו להיסטוריון" ("</w:t>
      </w:r>
      <w:r w:rsidRPr="001A603A">
        <w:rPr>
          <w:rFonts w:ascii="Arial" w:eastAsia="Times New Roman" w:hAnsi="Arial" w:cs="Arial"/>
          <w:color w:val="000000"/>
          <w:sz w:val="27"/>
          <w:szCs w:val="27"/>
          <w:bdr w:val="none" w:sz="0" w:space="0" w:color="auto" w:frame="1"/>
        </w:rPr>
        <w:t>Le souvenir est un poète / N'en fais pas un historien</w:t>
      </w:r>
      <w:r w:rsidRPr="001A603A">
        <w:rPr>
          <w:rFonts w:ascii="Arial" w:eastAsia="Times New Roman" w:hAnsi="Arial" w:cs="Arial"/>
          <w:color w:val="000000"/>
          <w:sz w:val="27"/>
          <w:szCs w:val="27"/>
          <w:bdr w:val="none" w:sz="0" w:space="0" w:color="auto" w:frame="1"/>
          <w:rtl/>
        </w:rPr>
        <w:t>"). גוברין נענית לקריאה הזאת, והודות לכך נחלץ הספר ממַּלְתְּעוֹת ההיסטוריה ויכול להן. לצד הזיכרון ה"ארכיאולוגי" יש כאן "זיכרון קדום, מהפנט, ובעומקו החיבוק של אמא לילד בן שבע שמעולם לא התבגר" (עמ' 344). "הילד שלא השאיר סימן" (עמ' 233) זוכה לַנצח הקטן של הספרות על ידי מְלאכת השחזור של הבדיון המתעד־מדמיין את מַחשבותיו, את תנועותיו. ההתקרבות אל האח המת במחזה של סופוקלס דינה מוות. וכאן: "ידעתי שאם אתקרב אליו (אל מַארֶק) – אמות" (עמ' 128). הבדיון כמוהו כנוגדן לרעל, כאנטידוט, המאפשר לא רק להתקרב אל המתים אלא במובן מסוים להתגבר על ההיסטוריה ואולי גם על המוות.</w:t>
      </w:r>
    </w:p>
    <w:p w:rsidR="001A603A" w:rsidRPr="001A603A" w:rsidRDefault="001A603A" w:rsidP="001A603A">
      <w:pPr>
        <w:spacing w:after="0" w:line="405" w:lineRule="atLeast"/>
        <w:textAlignment w:val="baseline"/>
        <w:rPr>
          <w:rFonts w:ascii="Arial" w:eastAsia="Times New Roman" w:hAnsi="Arial" w:cs="Arial"/>
          <w:color w:val="303030"/>
          <w:sz w:val="27"/>
          <w:szCs w:val="27"/>
          <w:rtl/>
        </w:rPr>
      </w:pPr>
      <w:r w:rsidRPr="001A603A">
        <w:rPr>
          <w:rFonts w:ascii="Arial" w:eastAsia="Times New Roman" w:hAnsi="Arial" w:cs="Arial"/>
          <w:color w:val="000000"/>
          <w:sz w:val="27"/>
          <w:szCs w:val="27"/>
          <w:bdr w:val="none" w:sz="0" w:space="0" w:color="auto" w:frame="1"/>
          <w:rtl/>
        </w:rPr>
        <w:t> </w:t>
      </w:r>
    </w:p>
    <w:p w:rsidR="001A603A" w:rsidRPr="001A603A" w:rsidRDefault="001A603A" w:rsidP="001A603A">
      <w:pPr>
        <w:spacing w:after="0" w:line="405" w:lineRule="atLeast"/>
        <w:textAlignment w:val="baseline"/>
        <w:rPr>
          <w:rFonts w:ascii="Arial" w:eastAsia="Times New Roman" w:hAnsi="Arial" w:cs="Arial"/>
          <w:color w:val="303030"/>
          <w:sz w:val="27"/>
          <w:szCs w:val="27"/>
          <w:rtl/>
        </w:rPr>
      </w:pPr>
      <w:r w:rsidRPr="001A603A">
        <w:rPr>
          <w:rFonts w:ascii="Arial" w:eastAsia="Times New Roman" w:hAnsi="Arial" w:cs="Arial"/>
          <w:color w:val="000000"/>
          <w:sz w:val="27"/>
          <w:szCs w:val="27"/>
          <w:bdr w:val="none" w:sz="0" w:space="0" w:color="auto" w:frame="1"/>
          <w:rtl/>
        </w:rPr>
        <w:t> </w:t>
      </w:r>
    </w:p>
    <w:p w:rsidR="001A603A" w:rsidRPr="001A603A" w:rsidRDefault="001A603A" w:rsidP="001A603A">
      <w:pPr>
        <w:spacing w:after="0" w:line="405" w:lineRule="atLeast"/>
        <w:textAlignment w:val="baseline"/>
        <w:outlineLvl w:val="1"/>
        <w:rPr>
          <w:rFonts w:ascii="Arial" w:eastAsia="Times New Roman" w:hAnsi="Arial" w:cs="Arial"/>
          <w:b/>
          <w:bCs/>
          <w:color w:val="EDDD4E"/>
          <w:sz w:val="33"/>
          <w:szCs w:val="33"/>
          <w:rtl/>
        </w:rPr>
      </w:pPr>
      <w:r w:rsidRPr="001A603A">
        <w:rPr>
          <w:rFonts w:ascii="Arial" w:eastAsia="Times New Roman" w:hAnsi="Arial" w:cs="Arial"/>
          <w:b/>
          <w:bCs/>
          <w:color w:val="000000"/>
          <w:sz w:val="33"/>
          <w:szCs w:val="33"/>
          <w:bdr w:val="none" w:sz="0" w:space="0" w:color="auto" w:frame="1"/>
          <w:rtl/>
        </w:rPr>
        <w:t>מחשבה שנייה: זהות וערעורה – מעבֶר לבינאריות</w:t>
      </w:r>
    </w:p>
    <w:p w:rsidR="001A603A" w:rsidRPr="001A603A" w:rsidRDefault="001A603A" w:rsidP="001A603A">
      <w:pPr>
        <w:spacing w:after="0" w:line="405" w:lineRule="atLeast"/>
        <w:textAlignment w:val="baseline"/>
        <w:rPr>
          <w:rFonts w:ascii="Arial" w:eastAsia="Times New Roman" w:hAnsi="Arial" w:cs="Arial"/>
          <w:color w:val="303030"/>
          <w:sz w:val="27"/>
          <w:szCs w:val="27"/>
          <w:rtl/>
        </w:rPr>
      </w:pPr>
      <w:r w:rsidRPr="001A603A">
        <w:rPr>
          <w:rFonts w:ascii="Arial" w:eastAsia="Times New Roman" w:hAnsi="Arial" w:cs="Arial"/>
          <w:color w:val="000000"/>
          <w:sz w:val="27"/>
          <w:szCs w:val="27"/>
          <w:bdr w:val="none" w:sz="0" w:space="0" w:color="auto" w:frame="1"/>
          <w:rtl/>
        </w:rPr>
        <w:t>אנטיגונה של סופוקלס מצביעה בעצם קיומה על הפער הבלתי נסבל בין הרצוי לבין המצוי. היא מורדת נצחית, שבמובן מסוים מסרבת להתבגר, כלומר לנוע מראייה בינארית ודרמטית, שחור־לבן, אל התבוננות מורכבת, המבחינה בשפע גוֹני האפור שבחיים. גם אנטיגונה שברומן חיה על קו שבר שבין שתי הוויות, ובניגוד לרבים המבקשים להתעלם ממנו, אין היא מסוגלת. היא מתעדת את השסע ההולך ונבעֶה בין המציאות המקומית בשנות החמישים, המבקשת לברוא זמן חדש, זמן ישראלי, לבין הזמן היהודי, שבליבו, בדורות האחרונים, הזיכרון המצמית של השואה. הסדק הראשון בין שני מישורי הזמן: ההבנה שהאם־הלביאה מתפרקת ביום הכיפורים. אז הזמן היהודי פורץ במלוא עוזו אל ההווה הישראלי, החילוני לכאורה, ובמקרה זה מזכיר את המשפחה הקודמת שנספתה, המשפחה־שלפני־המשפחה. הסדק הבא: נסיעה שגרתית באוטובוס בתל אביב, לב החולין, אשר מובילה לעימות עם הנהג המתגלה כקאפו מ"שם". ופריצת הסכר: משפט אייכמן, שבּו "ברגע מערבל אחד התלכדו הקולות – אלה של הבית ואלה של בית הספר ואלה של בית המשפט [...] לראשונה נפרץ אז מחסום בין חיים מוחצנים (בצופים) לבין חיים סמויים שחיפשו שפה" (עמ' 73, 79).</w:t>
      </w:r>
    </w:p>
    <w:p w:rsidR="001A603A" w:rsidRPr="001A603A" w:rsidRDefault="001A603A" w:rsidP="001A603A">
      <w:pPr>
        <w:spacing w:after="0" w:line="405" w:lineRule="atLeast"/>
        <w:textAlignment w:val="baseline"/>
        <w:rPr>
          <w:rFonts w:ascii="Arial" w:eastAsia="Times New Roman" w:hAnsi="Arial" w:cs="Arial"/>
          <w:color w:val="303030"/>
          <w:sz w:val="27"/>
          <w:szCs w:val="27"/>
          <w:rtl/>
        </w:rPr>
      </w:pPr>
      <w:r w:rsidRPr="001A603A">
        <w:rPr>
          <w:rFonts w:ascii="Arial" w:eastAsia="Times New Roman" w:hAnsi="Arial" w:cs="Arial"/>
          <w:color w:val="303030"/>
          <w:sz w:val="27"/>
          <w:szCs w:val="27"/>
          <w:bdr w:val="none" w:sz="0" w:space="0" w:color="auto" w:frame="1"/>
          <w:rtl/>
        </w:rPr>
        <w:lastRenderedPageBreak/>
        <w:br/>
      </w:r>
    </w:p>
    <w:p w:rsidR="001A603A" w:rsidRPr="001A603A" w:rsidRDefault="001A603A" w:rsidP="001A603A">
      <w:pPr>
        <w:spacing w:after="0" w:line="405" w:lineRule="atLeast"/>
        <w:textAlignment w:val="baseline"/>
        <w:rPr>
          <w:rFonts w:ascii="Arial" w:eastAsia="Times New Roman" w:hAnsi="Arial" w:cs="Arial"/>
          <w:color w:val="303030"/>
          <w:sz w:val="27"/>
          <w:szCs w:val="27"/>
          <w:rtl/>
        </w:rPr>
      </w:pPr>
      <w:r w:rsidRPr="001A603A">
        <w:rPr>
          <w:rFonts w:ascii="Arial" w:eastAsia="Times New Roman" w:hAnsi="Arial" w:cs="Arial"/>
          <w:color w:val="000000"/>
          <w:sz w:val="27"/>
          <w:szCs w:val="27"/>
          <w:bdr w:val="none" w:sz="0" w:space="0" w:color="auto" w:frame="1"/>
          <w:rtl/>
        </w:rPr>
        <w:t>דומה שהמתח האיום בין פני השטח לבין מבנה העומק הוא שעומד בשורש היצירה של מיכל גוברין בכללה. ההצבעה המתמדת על פער זה לא רק שחושפת את ההסתרה וההכחשה המאפשרות לכולנו לחיות את חיינו הנורמליים, אלא גם מוליכה אל התמודדות נכוחה עם התהום המהבהבת מבעד לגלידי הקרח.</w:t>
      </w:r>
    </w:p>
    <w:p w:rsidR="001A603A" w:rsidRPr="001A603A" w:rsidRDefault="001A603A" w:rsidP="001A603A">
      <w:pPr>
        <w:spacing w:after="0" w:line="405" w:lineRule="atLeast"/>
        <w:textAlignment w:val="baseline"/>
        <w:rPr>
          <w:rFonts w:ascii="Arial" w:eastAsia="Times New Roman" w:hAnsi="Arial" w:cs="Arial"/>
          <w:color w:val="303030"/>
          <w:sz w:val="27"/>
          <w:szCs w:val="27"/>
          <w:rtl/>
        </w:rPr>
      </w:pPr>
      <w:r w:rsidRPr="001A603A">
        <w:rPr>
          <w:rFonts w:ascii="Arial" w:eastAsia="Times New Roman" w:hAnsi="Arial" w:cs="Arial"/>
          <w:color w:val="303030"/>
          <w:sz w:val="27"/>
          <w:szCs w:val="27"/>
          <w:bdr w:val="none" w:sz="0" w:space="0" w:color="auto" w:frame="1"/>
          <w:rtl/>
        </w:rPr>
        <w:br/>
      </w:r>
    </w:p>
    <w:p w:rsidR="001A603A" w:rsidRPr="001A603A" w:rsidRDefault="001A603A" w:rsidP="001A603A">
      <w:pPr>
        <w:spacing w:after="0" w:line="405" w:lineRule="atLeast"/>
        <w:textAlignment w:val="baseline"/>
        <w:rPr>
          <w:rFonts w:ascii="Arial" w:eastAsia="Times New Roman" w:hAnsi="Arial" w:cs="Arial"/>
          <w:color w:val="303030"/>
          <w:sz w:val="27"/>
          <w:szCs w:val="27"/>
          <w:rtl/>
        </w:rPr>
      </w:pPr>
      <w:r w:rsidRPr="001A603A">
        <w:rPr>
          <w:rFonts w:ascii="Arial" w:eastAsia="Times New Roman" w:hAnsi="Arial" w:cs="Arial"/>
          <w:color w:val="000000"/>
          <w:sz w:val="27"/>
          <w:szCs w:val="27"/>
          <w:bdr w:val="none" w:sz="0" w:space="0" w:color="auto" w:frame="1"/>
          <w:rtl/>
        </w:rPr>
        <w:t xml:space="preserve">עד כאן, המהלך הוא "אנטיגוני" במובהק, בשל הדיכוטומיה שלו. אבל גוברין הולכת אל מעבר לאנטיגונה בכמה וכמה מובנים. אחד העיקריים שבהם בא לידי ביטוי בטשטוש הבינאריות, למשל בהצבעה על יחסי שארות אחרים, המאתגרת את ההפרדות המקובלות. כאן אני הולך בעקבות ג'ודית באטלר, שבספרה </w:t>
      </w:r>
      <w:r w:rsidRPr="001A603A">
        <w:rPr>
          <w:rFonts w:ascii="Arial" w:eastAsia="Times New Roman" w:hAnsi="Arial" w:cs="Arial"/>
          <w:b/>
          <w:bCs/>
          <w:color w:val="000000"/>
          <w:sz w:val="27"/>
          <w:szCs w:val="27"/>
          <w:bdr w:val="none" w:sz="0" w:space="0" w:color="auto" w:frame="1"/>
          <w:rtl/>
        </w:rPr>
        <w:t>טַענת אנטיגונה</w:t>
      </w:r>
      <w:r w:rsidRPr="001A603A">
        <w:rPr>
          <w:rFonts w:ascii="Arial" w:eastAsia="Times New Roman" w:hAnsi="Arial" w:cs="Arial"/>
          <w:color w:val="000000"/>
          <w:sz w:val="27"/>
          <w:szCs w:val="27"/>
          <w:bdr w:val="none" w:sz="0" w:space="0" w:color="auto" w:frame="1"/>
          <w:rtl/>
        </w:rPr>
        <w:t xml:space="preserve"> (2000) ביקשה לקרוא את הטרגדיה הקלאסית כהצעה לסדר אחר של יחסי קרובים ובהם גם קשרי משפחה (</w:t>
      </w:r>
      <w:r w:rsidRPr="001A603A">
        <w:rPr>
          <w:rFonts w:ascii="Arial" w:eastAsia="Times New Roman" w:hAnsi="Arial" w:cs="Arial"/>
          <w:color w:val="000000"/>
          <w:sz w:val="27"/>
          <w:szCs w:val="27"/>
          <w:bdr w:val="none" w:sz="0" w:space="0" w:color="auto" w:frame="1"/>
        </w:rPr>
        <w:t>kinship</w:t>
      </w:r>
      <w:r w:rsidRPr="001A603A">
        <w:rPr>
          <w:rFonts w:ascii="Arial" w:eastAsia="Times New Roman" w:hAnsi="Arial" w:cs="Arial"/>
          <w:color w:val="000000"/>
          <w:sz w:val="27"/>
          <w:szCs w:val="27"/>
          <w:bdr w:val="none" w:sz="0" w:space="0" w:color="auto" w:frame="1"/>
          <w:rtl/>
        </w:rPr>
        <w:t>). למשל, מקומם של הניצולים בני אותה עיר בכינון קהילה תומכת ואולי אף כחלופה מסוימת למשפחה הגרעינית שאבדה; האינטימיות הגופנית המופגנת של הבת עם האם; ההבנה שאנטיגונה המודרנית, המספרת, היא עצמה בתה של אנטיגונה (האֵם מורידה את גופת בעלה הראשון מעץ התלייה על אף האיסור שהפרתו דינו מוות); קרבתן של חַבְרוֹת קבוצת "העשירייה", קבוצת העזרה ההדדית שהנמיכה את המחיצות בין חרדיוּת לחילוניוּת ובכך, בין השאר, סייעה לחברותיה לשרוד שלושה מחנות ריכוז במשך יותר משנתיים; וּבעיקר, כמובן, כינונה של האחאות עם מַארֶק במאוחר. בתערוכה ב"יד ושם", שתמונתו של מארֶק הוצגה בה לראשונה: "'הנה האחות של מארֶק!' התקרבו אליי. האחות של מארֶק... לראשונה בחיי הפכתי ל'אחות של מארֶק'... אני, שמעולם לא יכולתי להגיד, 'האח שלי', רק 'הבן של אמא'. באותו רגע התמוטטתי" (עמ' 234).</w:t>
      </w:r>
    </w:p>
    <w:p w:rsidR="001A603A" w:rsidRPr="001A603A" w:rsidRDefault="001A603A" w:rsidP="001A603A">
      <w:pPr>
        <w:spacing w:after="0" w:line="405" w:lineRule="atLeast"/>
        <w:textAlignment w:val="baseline"/>
        <w:rPr>
          <w:rFonts w:ascii="Arial" w:eastAsia="Times New Roman" w:hAnsi="Arial" w:cs="Arial"/>
          <w:color w:val="303030"/>
          <w:sz w:val="27"/>
          <w:szCs w:val="27"/>
          <w:rtl/>
        </w:rPr>
      </w:pPr>
      <w:r w:rsidRPr="001A603A">
        <w:rPr>
          <w:rFonts w:ascii="Arial" w:eastAsia="Times New Roman" w:hAnsi="Arial" w:cs="Arial"/>
          <w:color w:val="000000"/>
          <w:sz w:val="27"/>
          <w:szCs w:val="27"/>
          <w:bdr w:val="none" w:sz="0" w:space="0" w:color="auto" w:frame="1"/>
          <w:rtl/>
        </w:rPr>
        <w:t> </w:t>
      </w:r>
    </w:p>
    <w:p w:rsidR="001A603A" w:rsidRPr="001A603A" w:rsidRDefault="001A603A" w:rsidP="001A603A">
      <w:pPr>
        <w:spacing w:after="0" w:line="405" w:lineRule="atLeast"/>
        <w:textAlignment w:val="baseline"/>
        <w:outlineLvl w:val="1"/>
        <w:rPr>
          <w:rFonts w:ascii="Arial" w:eastAsia="Times New Roman" w:hAnsi="Arial" w:cs="Arial"/>
          <w:b/>
          <w:bCs/>
          <w:color w:val="EDDD4E"/>
          <w:sz w:val="33"/>
          <w:szCs w:val="33"/>
          <w:rtl/>
        </w:rPr>
      </w:pPr>
      <w:r w:rsidRPr="001A603A">
        <w:rPr>
          <w:rFonts w:ascii="Arial" w:eastAsia="Times New Roman" w:hAnsi="Arial" w:cs="Arial"/>
          <w:b/>
          <w:bCs/>
          <w:color w:val="000000"/>
          <w:sz w:val="33"/>
          <w:szCs w:val="33"/>
          <w:bdr w:val="none" w:sz="0" w:space="0" w:color="auto" w:frame="1"/>
          <w:rtl/>
        </w:rPr>
        <w:t>מחשבה שלישית: שחר</w:t>
      </w:r>
    </w:p>
    <w:p w:rsidR="001A603A" w:rsidRPr="001A603A" w:rsidRDefault="001A603A" w:rsidP="001A603A">
      <w:pPr>
        <w:spacing w:after="0" w:line="405" w:lineRule="atLeast"/>
        <w:textAlignment w:val="baseline"/>
        <w:rPr>
          <w:rFonts w:ascii="Arial" w:eastAsia="Times New Roman" w:hAnsi="Arial" w:cs="Arial"/>
          <w:color w:val="303030"/>
          <w:sz w:val="27"/>
          <w:szCs w:val="27"/>
          <w:rtl/>
        </w:rPr>
      </w:pPr>
      <w:r w:rsidRPr="001A603A">
        <w:rPr>
          <w:rFonts w:ascii="Arial" w:eastAsia="Times New Roman" w:hAnsi="Arial" w:cs="Arial"/>
          <w:color w:val="000000"/>
          <w:sz w:val="27"/>
          <w:szCs w:val="27"/>
          <w:bdr w:val="none" w:sz="0" w:space="0" w:color="auto" w:frame="1"/>
          <w:rtl/>
        </w:rPr>
        <w:t xml:space="preserve">תמונת הסיום של הרומן היא עם בוקר. לאחר הצלילה אל האופל האיוֹם, עולה האור עם שחזור של חופשת המשפחה בצפת, בילדותה של המספרת. צפת מפגישה ברומן את הקטבים, את מישורי הזמן המתחרים: את המיסטיקה היהודית הקדומה עם חבורת שורדי השואה המשוחחים ביניהם בפולנית, בעיר הישראלית (עמ' 411–412). הספר נחתם במילים אלו: "ואולי זה היה אותו אור גנוז מחדר הילדות, כשאימא נכנסה, מניפה את זרועה מבעד לאפלולית, חופנת בין אצבעותיה זהרורים שהסתננו באלומה רוטטת מבין שלבי התריס. ממיטתי, מיטת התינוקת, עדיין לא הבחנתי בִּצללית של ילד נוסף שהרים אליה את פניו. [...] ואז, בתנועה החלטית, חצתה את החדר ופתחה את התריס. 'יום </w:t>
      </w:r>
      <w:r w:rsidRPr="001A603A">
        <w:rPr>
          <w:rFonts w:ascii="Arial" w:eastAsia="Times New Roman" w:hAnsi="Arial" w:cs="Arial"/>
          <w:color w:val="000000"/>
          <w:sz w:val="27"/>
          <w:szCs w:val="27"/>
          <w:bdr w:val="none" w:sz="0" w:space="0" w:color="auto" w:frame="1"/>
          <w:rtl/>
        </w:rPr>
        <w:lastRenderedPageBreak/>
        <w:t>חדש!' הכריזה, ולאפלולית התפרץ אור חד והציף את החדר, מאיר ומוחק את מה שלא אדע אף פעם, מה שיישאר לעולם בעומק שתיקתה" (עמ' 545).</w:t>
      </w:r>
    </w:p>
    <w:p w:rsidR="001A603A" w:rsidRPr="001A603A" w:rsidRDefault="001A603A" w:rsidP="001A603A">
      <w:pPr>
        <w:spacing w:after="0" w:line="405" w:lineRule="atLeast"/>
        <w:textAlignment w:val="baseline"/>
        <w:rPr>
          <w:rFonts w:ascii="Arial" w:eastAsia="Times New Roman" w:hAnsi="Arial" w:cs="Arial"/>
          <w:color w:val="303030"/>
          <w:sz w:val="27"/>
          <w:szCs w:val="27"/>
          <w:rtl/>
        </w:rPr>
      </w:pPr>
      <w:r w:rsidRPr="001A603A">
        <w:rPr>
          <w:rFonts w:ascii="Arial" w:eastAsia="Times New Roman" w:hAnsi="Arial" w:cs="Arial"/>
          <w:color w:val="303030"/>
          <w:sz w:val="27"/>
          <w:szCs w:val="27"/>
          <w:bdr w:val="none" w:sz="0" w:space="0" w:color="auto" w:frame="1"/>
          <w:rtl/>
        </w:rPr>
        <w:br/>
      </w:r>
    </w:p>
    <w:p w:rsidR="001A603A" w:rsidRPr="001A603A" w:rsidRDefault="001A603A" w:rsidP="001A603A">
      <w:pPr>
        <w:spacing w:after="0" w:line="405" w:lineRule="atLeast"/>
        <w:textAlignment w:val="baseline"/>
        <w:rPr>
          <w:rFonts w:ascii="Arial" w:eastAsia="Times New Roman" w:hAnsi="Arial" w:cs="Arial"/>
          <w:color w:val="303030"/>
          <w:sz w:val="27"/>
          <w:szCs w:val="27"/>
          <w:rtl/>
        </w:rPr>
      </w:pPr>
      <w:r w:rsidRPr="001A603A">
        <w:rPr>
          <w:rFonts w:ascii="Arial" w:eastAsia="Times New Roman" w:hAnsi="Arial" w:cs="Arial"/>
          <w:color w:val="000000"/>
          <w:sz w:val="27"/>
          <w:szCs w:val="27"/>
          <w:bdr w:val="none" w:sz="0" w:space="0" w:color="auto" w:frame="1"/>
          <w:rtl/>
        </w:rPr>
        <w:t>במין סִינֶסְתֶזְיָה, האור מוחק לא את הצללים אלא את הקול או את השתיקה. הזיכרון הארכיאולוגי, של החיים־שלפני־החיים, שנחשף בְּדֵי עמל – מיטשטש, שאחרת בכוחו לשבשם.</w:t>
      </w:r>
    </w:p>
    <w:p w:rsidR="001A603A" w:rsidRPr="001A603A" w:rsidRDefault="001A603A" w:rsidP="001A603A">
      <w:pPr>
        <w:spacing w:after="0" w:line="405" w:lineRule="atLeast"/>
        <w:textAlignment w:val="baseline"/>
        <w:rPr>
          <w:rFonts w:ascii="Arial" w:eastAsia="Times New Roman" w:hAnsi="Arial" w:cs="Arial"/>
          <w:color w:val="303030"/>
          <w:sz w:val="27"/>
          <w:szCs w:val="27"/>
          <w:rtl/>
        </w:rPr>
      </w:pPr>
      <w:r w:rsidRPr="001A603A">
        <w:rPr>
          <w:rFonts w:ascii="Arial" w:eastAsia="Times New Roman" w:hAnsi="Arial" w:cs="Arial"/>
          <w:color w:val="303030"/>
          <w:sz w:val="27"/>
          <w:szCs w:val="27"/>
          <w:bdr w:val="none" w:sz="0" w:space="0" w:color="auto" w:frame="1"/>
          <w:rtl/>
        </w:rPr>
        <w:br/>
      </w:r>
    </w:p>
    <w:p w:rsidR="001A603A" w:rsidRPr="001A603A" w:rsidRDefault="001A603A" w:rsidP="001A603A">
      <w:pPr>
        <w:spacing w:after="0" w:line="405" w:lineRule="atLeast"/>
        <w:textAlignment w:val="baseline"/>
        <w:rPr>
          <w:rFonts w:ascii="Arial" w:eastAsia="Times New Roman" w:hAnsi="Arial" w:cs="Arial"/>
          <w:color w:val="303030"/>
          <w:sz w:val="27"/>
          <w:szCs w:val="27"/>
          <w:rtl/>
        </w:rPr>
      </w:pPr>
      <w:r w:rsidRPr="001A603A">
        <w:rPr>
          <w:rFonts w:ascii="Arial" w:eastAsia="Times New Roman" w:hAnsi="Arial" w:cs="Arial"/>
          <w:color w:val="000000"/>
          <w:sz w:val="27"/>
          <w:szCs w:val="27"/>
          <w:bdr w:val="none" w:sz="0" w:space="0" w:color="auto" w:frame="1"/>
          <w:rtl/>
        </w:rPr>
        <w:t xml:space="preserve">גם לאה גולדברג, במחזור שירים חשוף (יחסית) על השואה ועל מלחמת העולם השנייה, ששמו "אנטיגונה", הדגישה את הבוקריוּת, את "שחר המתים", את "שחר המיתה", שלאחריו קמים אנשי העיר, הניצולים, אל יום חדש – כי </w:t>
      </w:r>
      <w:r w:rsidRPr="001A603A">
        <w:rPr>
          <w:rFonts w:ascii="Arial" w:eastAsia="Times New Roman" w:hAnsi="Arial" w:cs="Arial"/>
          <w:b/>
          <w:bCs/>
          <w:color w:val="000000"/>
          <w:sz w:val="27"/>
          <w:szCs w:val="27"/>
          <w:bdr w:val="none" w:sz="0" w:space="0" w:color="auto" w:frame="1"/>
          <w:rtl/>
        </w:rPr>
        <w:t xml:space="preserve">נידונו </w:t>
      </w:r>
      <w:r w:rsidRPr="001A603A">
        <w:rPr>
          <w:rFonts w:ascii="Arial" w:eastAsia="Times New Roman" w:hAnsi="Arial" w:cs="Arial"/>
          <w:color w:val="000000"/>
          <w:sz w:val="27"/>
          <w:szCs w:val="27"/>
          <w:bdr w:val="none" w:sz="0" w:space="0" w:color="auto" w:frame="1"/>
          <w:rtl/>
        </w:rPr>
        <w:t xml:space="preserve">לחיות, כי </w:t>
      </w:r>
      <w:r w:rsidRPr="001A603A">
        <w:rPr>
          <w:rFonts w:ascii="Arial" w:eastAsia="Times New Roman" w:hAnsi="Arial" w:cs="Arial"/>
          <w:b/>
          <w:bCs/>
          <w:color w:val="000000"/>
          <w:sz w:val="27"/>
          <w:szCs w:val="27"/>
          <w:bdr w:val="none" w:sz="0" w:space="0" w:color="auto" w:frame="1"/>
          <w:rtl/>
        </w:rPr>
        <w:t xml:space="preserve">זכו </w:t>
      </w:r>
      <w:r w:rsidRPr="001A603A">
        <w:rPr>
          <w:rFonts w:ascii="Arial" w:eastAsia="Times New Roman" w:hAnsi="Arial" w:cs="Arial"/>
          <w:color w:val="000000"/>
          <w:sz w:val="27"/>
          <w:szCs w:val="27"/>
          <w:bdr w:val="none" w:sz="0" w:space="0" w:color="auto" w:frame="1"/>
          <w:rtl/>
        </w:rPr>
        <w:t>לחיות. בין השאר כתבה במחזור זה:</w:t>
      </w:r>
    </w:p>
    <w:p w:rsidR="001A603A" w:rsidRPr="001A603A" w:rsidRDefault="001A603A" w:rsidP="001A603A">
      <w:pPr>
        <w:spacing w:after="0" w:line="405" w:lineRule="atLeast"/>
        <w:textAlignment w:val="baseline"/>
        <w:rPr>
          <w:rFonts w:ascii="Arial" w:eastAsia="Times New Roman" w:hAnsi="Arial" w:cs="Arial"/>
          <w:color w:val="303030"/>
          <w:sz w:val="27"/>
          <w:szCs w:val="27"/>
          <w:rtl/>
        </w:rPr>
      </w:pPr>
      <w:r w:rsidRPr="001A603A">
        <w:rPr>
          <w:rFonts w:ascii="Arial" w:eastAsia="Times New Roman" w:hAnsi="Arial" w:cs="Arial"/>
          <w:color w:val="303030"/>
          <w:sz w:val="27"/>
          <w:szCs w:val="27"/>
          <w:bdr w:val="none" w:sz="0" w:space="0" w:color="auto" w:frame="1"/>
          <w:rtl/>
        </w:rPr>
        <w:br/>
      </w:r>
    </w:p>
    <w:p w:rsidR="001A603A" w:rsidRPr="001A603A" w:rsidRDefault="001A603A" w:rsidP="001A603A">
      <w:pPr>
        <w:spacing w:after="0" w:line="405" w:lineRule="atLeast"/>
        <w:textAlignment w:val="baseline"/>
        <w:rPr>
          <w:rFonts w:ascii="Arial" w:eastAsia="Times New Roman" w:hAnsi="Arial" w:cs="Arial"/>
          <w:color w:val="303030"/>
          <w:sz w:val="27"/>
          <w:szCs w:val="27"/>
          <w:rtl/>
        </w:rPr>
      </w:pPr>
      <w:r w:rsidRPr="001A603A">
        <w:rPr>
          <w:rFonts w:ascii="Arial" w:eastAsia="Times New Roman" w:hAnsi="Arial" w:cs="Arial"/>
          <w:color w:val="000000"/>
          <w:sz w:val="27"/>
          <w:szCs w:val="27"/>
          <w:bdr w:val="none" w:sz="0" w:space="0" w:color="auto" w:frame="1"/>
          <w:rtl/>
        </w:rPr>
        <w:t>"הַגֶּשֶׁם לֹא יָבוֹא. הָעֲנָנִים / תְּלוּיִים בָּאֹפֶק כְּעֵדִים מֵתִים / לְמַה שֶּׁלֹּא יָבוֹא. שַׁאֲנַנִּים / יוֹצְאִים אַנְשֵׁי הָעִיר מִן הַבָּתִּים. // אַתְּ מַכִּירָה בָּהֶם מֵאוֹת אַחִים / אֲשֶׁר רָאוּ אֶת שַׁחַר הַמִּיתָה. / הַבִּיטִי, הֵם הוֹלְכִים, הֵם שׁוֹכְחִים, / הֵם מֻכְרָחִים לִחְיוֹת לְעֵת עַתָּה".</w:t>
      </w:r>
    </w:p>
    <w:p w:rsidR="001A603A" w:rsidRPr="001A603A" w:rsidRDefault="001A603A" w:rsidP="001A603A">
      <w:pPr>
        <w:spacing w:after="0" w:line="405" w:lineRule="atLeast"/>
        <w:textAlignment w:val="baseline"/>
        <w:rPr>
          <w:rFonts w:ascii="Arial" w:eastAsia="Times New Roman" w:hAnsi="Arial" w:cs="Arial"/>
          <w:color w:val="303030"/>
          <w:sz w:val="27"/>
          <w:szCs w:val="27"/>
          <w:rtl/>
        </w:rPr>
      </w:pPr>
      <w:r w:rsidRPr="001A603A">
        <w:rPr>
          <w:rFonts w:ascii="Arial" w:eastAsia="Times New Roman" w:hAnsi="Arial" w:cs="Arial"/>
          <w:color w:val="303030"/>
          <w:sz w:val="27"/>
          <w:szCs w:val="27"/>
          <w:bdr w:val="none" w:sz="0" w:space="0" w:color="auto" w:frame="1"/>
          <w:rtl/>
        </w:rPr>
        <w:br/>
      </w:r>
    </w:p>
    <w:p w:rsidR="001A603A" w:rsidRPr="001A603A" w:rsidRDefault="001A603A" w:rsidP="001A603A">
      <w:pPr>
        <w:spacing w:after="0" w:line="405" w:lineRule="atLeast"/>
        <w:textAlignment w:val="baseline"/>
        <w:rPr>
          <w:rFonts w:ascii="Arial" w:eastAsia="Times New Roman" w:hAnsi="Arial" w:cs="Arial"/>
          <w:color w:val="303030"/>
          <w:sz w:val="27"/>
          <w:szCs w:val="27"/>
          <w:rtl/>
        </w:rPr>
      </w:pPr>
      <w:r w:rsidRPr="001A603A">
        <w:rPr>
          <w:rFonts w:ascii="Arial" w:eastAsia="Times New Roman" w:hAnsi="Arial" w:cs="Arial"/>
          <w:color w:val="000000"/>
          <w:sz w:val="27"/>
          <w:szCs w:val="27"/>
          <w:bdr w:val="none" w:sz="0" w:space="0" w:color="auto" w:frame="1"/>
          <w:rtl/>
        </w:rPr>
        <w:t xml:space="preserve">גולדברג יכלה להרשות לעצמה מבע חשוף זה, באופן יחסי, הודות להרחקת עדותה – מזמן הכתיבה של מחזור השירים, קצת יותר מעשור לאחר תום מלחמת העולם השנייה והשואה – אל המאה החמישית לפני הספירה, אל אנטיגונה של סופוקלס. גולדברג פרסמה לראשונה את שני צמד שיריה שכותרתם "אנטיגונה" בעיתון </w:t>
      </w:r>
      <w:r w:rsidRPr="001A603A">
        <w:rPr>
          <w:rFonts w:ascii="Arial" w:eastAsia="Times New Roman" w:hAnsi="Arial" w:cs="Arial"/>
          <w:b/>
          <w:bCs/>
          <w:color w:val="000000"/>
          <w:sz w:val="27"/>
          <w:szCs w:val="27"/>
          <w:bdr w:val="none" w:sz="0" w:space="0" w:color="auto" w:frame="1"/>
          <w:rtl/>
        </w:rPr>
        <w:t>על המשמר</w:t>
      </w:r>
      <w:r w:rsidRPr="001A603A">
        <w:rPr>
          <w:rFonts w:ascii="Arial" w:eastAsia="Times New Roman" w:hAnsi="Arial" w:cs="Arial"/>
          <w:color w:val="000000"/>
          <w:sz w:val="27"/>
          <w:szCs w:val="27"/>
          <w:bdr w:val="none" w:sz="0" w:space="0" w:color="auto" w:frame="1"/>
          <w:rtl/>
        </w:rPr>
        <w:t xml:space="preserve">בספטמבר 1959, במקביל להופעתם באסופת שיריה </w:t>
      </w:r>
      <w:r w:rsidRPr="001A603A">
        <w:rPr>
          <w:rFonts w:ascii="Arial" w:eastAsia="Times New Roman" w:hAnsi="Arial" w:cs="Arial"/>
          <w:b/>
          <w:bCs/>
          <w:color w:val="000000"/>
          <w:sz w:val="27"/>
          <w:szCs w:val="27"/>
          <w:bdr w:val="none" w:sz="0" w:space="0" w:color="auto" w:frame="1"/>
          <w:rtl/>
        </w:rPr>
        <w:t>מוקדם ומאוחר</w:t>
      </w:r>
      <w:r w:rsidRPr="001A603A">
        <w:rPr>
          <w:rFonts w:ascii="Arial" w:eastAsia="Times New Roman" w:hAnsi="Arial" w:cs="Arial"/>
          <w:color w:val="000000"/>
          <w:sz w:val="27"/>
          <w:szCs w:val="27"/>
          <w:bdr w:val="none" w:sz="0" w:space="0" w:color="auto" w:frame="1"/>
          <w:rtl/>
        </w:rPr>
        <w:t xml:space="preserve">. אולי מעניינת יותר מפרסומם הראשון היא דווקא הופעתם הנוספת בדפוס. גולדברג הוזמנה לשאת הרצאה בטקס "אם השנה" שהתקיים בבית הנשיא בשנת 1963. הזוכה בתואר הייתה לנה קיכלר־זילברמן, שהצילה בשואה כמאה ילדים יהודים, וכמו אמה של מיכל גוברין הייתה שותפה לתנועת הבריחה מאירופה לארץ. גולדברג נמנעה מלהרצות באירוע על "ספרות השואה" – "על כך, לדעתה, קשה עדיין לפסוק בדורנו", נכתב מפיה  בכתב העת </w:t>
      </w:r>
      <w:r w:rsidRPr="001A603A">
        <w:rPr>
          <w:rFonts w:ascii="Arial" w:eastAsia="Times New Roman" w:hAnsi="Arial" w:cs="Arial"/>
          <w:b/>
          <w:bCs/>
          <w:color w:val="000000"/>
          <w:sz w:val="27"/>
          <w:szCs w:val="27"/>
          <w:bdr w:val="none" w:sz="0" w:space="0" w:color="auto" w:frame="1"/>
          <w:rtl/>
        </w:rPr>
        <w:t>דבר הפועלת</w:t>
      </w:r>
      <w:r w:rsidRPr="001A603A">
        <w:rPr>
          <w:rFonts w:ascii="Arial" w:eastAsia="Times New Roman" w:hAnsi="Arial" w:cs="Arial"/>
          <w:color w:val="000000"/>
          <w:sz w:val="27"/>
          <w:szCs w:val="27"/>
          <w:bdr w:val="none" w:sz="0" w:space="0" w:color="auto" w:frame="1"/>
          <w:rtl/>
        </w:rPr>
        <w:t xml:space="preserve"> – ובמקום זאת בחרה לקרוא את צמד שירי "אנטיגונה" שלה.</w:t>
      </w:r>
    </w:p>
    <w:p w:rsidR="001A603A" w:rsidRPr="001A603A" w:rsidRDefault="001A603A" w:rsidP="001A603A">
      <w:pPr>
        <w:spacing w:after="0" w:line="405" w:lineRule="atLeast"/>
        <w:textAlignment w:val="baseline"/>
        <w:rPr>
          <w:rFonts w:ascii="Arial" w:eastAsia="Times New Roman" w:hAnsi="Arial" w:cs="Arial"/>
          <w:color w:val="303030"/>
          <w:sz w:val="27"/>
          <w:szCs w:val="27"/>
          <w:rtl/>
        </w:rPr>
      </w:pPr>
      <w:r w:rsidRPr="001A603A">
        <w:rPr>
          <w:rFonts w:ascii="Arial" w:eastAsia="Times New Roman" w:hAnsi="Arial" w:cs="Arial"/>
          <w:color w:val="303030"/>
          <w:sz w:val="27"/>
          <w:szCs w:val="27"/>
          <w:bdr w:val="none" w:sz="0" w:space="0" w:color="auto" w:frame="1"/>
          <w:rtl/>
        </w:rPr>
        <w:br/>
      </w:r>
    </w:p>
    <w:p w:rsidR="001A603A" w:rsidRPr="001A603A" w:rsidRDefault="001A603A" w:rsidP="001A603A">
      <w:pPr>
        <w:spacing w:after="0" w:line="405" w:lineRule="atLeast"/>
        <w:textAlignment w:val="baseline"/>
        <w:rPr>
          <w:rFonts w:ascii="Arial" w:eastAsia="Times New Roman" w:hAnsi="Arial" w:cs="Arial"/>
          <w:color w:val="303030"/>
          <w:sz w:val="27"/>
          <w:szCs w:val="27"/>
          <w:rtl/>
        </w:rPr>
      </w:pPr>
      <w:r w:rsidRPr="001A603A">
        <w:rPr>
          <w:rFonts w:ascii="Arial" w:eastAsia="Times New Roman" w:hAnsi="Arial" w:cs="Arial"/>
          <w:color w:val="000000"/>
          <w:sz w:val="27"/>
          <w:szCs w:val="27"/>
          <w:bdr w:val="none" w:sz="0" w:space="0" w:color="auto" w:frame="1"/>
          <w:rtl/>
        </w:rPr>
        <w:lastRenderedPageBreak/>
        <w:t>מחזור השירים של גולדברג מנסח את אשמת הניצולים ואת אשמת מי שלא היו שם כלל; את מטען העדוּת והראִייה ואת בדידותה של מי שהתעקשה להזכיר ולהעיד, בשעה שלשם החיים, נחוץ היה לשכוח מעט, לשתוק. הרומן של גוברין חושף את מחירה של השתיקה ממרחק השנים, את הזכות שיש לנו כיום לדובבה ואת השיעור המוסרי הגדול שהיא מוליכה אליו – שיעור שעלינו לשוב ולשנן לעצמנו.</w:t>
      </w:r>
    </w:p>
    <w:p w:rsidR="001A603A" w:rsidRPr="001A603A" w:rsidRDefault="001A603A" w:rsidP="001A603A">
      <w:pPr>
        <w:spacing w:after="0" w:line="405" w:lineRule="atLeast"/>
        <w:textAlignment w:val="baseline"/>
        <w:rPr>
          <w:rFonts w:ascii="Arial" w:eastAsia="Times New Roman" w:hAnsi="Arial" w:cs="Arial"/>
          <w:color w:val="303030"/>
          <w:sz w:val="27"/>
          <w:szCs w:val="27"/>
          <w:rtl/>
        </w:rPr>
      </w:pPr>
      <w:r w:rsidRPr="001A603A">
        <w:rPr>
          <w:rFonts w:ascii="Arial" w:eastAsia="Times New Roman" w:hAnsi="Arial" w:cs="Arial"/>
          <w:color w:val="303030"/>
          <w:sz w:val="27"/>
          <w:szCs w:val="27"/>
          <w:bdr w:val="none" w:sz="0" w:space="0" w:color="auto" w:frame="1"/>
          <w:rtl/>
        </w:rPr>
        <w:br/>
      </w:r>
    </w:p>
    <w:p w:rsidR="001A603A" w:rsidRPr="001A603A" w:rsidRDefault="001A603A" w:rsidP="001A603A">
      <w:pPr>
        <w:spacing w:after="0" w:line="240" w:lineRule="auto"/>
        <w:textAlignment w:val="baseline"/>
        <w:rPr>
          <w:rFonts w:ascii="Arial" w:eastAsia="Times New Roman" w:hAnsi="Arial" w:cs="Arial"/>
          <w:color w:val="303030"/>
          <w:sz w:val="24"/>
          <w:szCs w:val="24"/>
          <w:rtl/>
        </w:rPr>
      </w:pPr>
      <w:r w:rsidRPr="001A603A">
        <w:rPr>
          <w:rFonts w:ascii="Arial" w:eastAsia="Times New Roman" w:hAnsi="Arial" w:cs="Arial"/>
          <w:color w:val="303030"/>
          <w:sz w:val="24"/>
          <w:szCs w:val="24"/>
          <w:rtl/>
        </w:rPr>
        <w:t> </w:t>
      </w:r>
    </w:p>
    <w:p w:rsidR="001A603A" w:rsidRPr="001A603A" w:rsidRDefault="001A603A" w:rsidP="001A603A">
      <w:pPr>
        <w:spacing w:after="0" w:line="405" w:lineRule="atLeast"/>
        <w:textAlignment w:val="baseline"/>
        <w:rPr>
          <w:rFonts w:ascii="Arial" w:eastAsia="Times New Roman" w:hAnsi="Arial" w:cs="Arial"/>
          <w:color w:val="303030"/>
          <w:sz w:val="27"/>
          <w:szCs w:val="27"/>
          <w:rtl/>
        </w:rPr>
      </w:pPr>
      <w:r w:rsidRPr="001A603A">
        <w:rPr>
          <w:rFonts w:ascii="Arial" w:eastAsia="Times New Roman" w:hAnsi="Arial" w:cs="Arial"/>
          <w:color w:val="303030"/>
          <w:sz w:val="27"/>
          <w:szCs w:val="27"/>
          <w:bdr w:val="none" w:sz="0" w:space="0" w:color="auto" w:frame="1"/>
          <w:rtl/>
        </w:rPr>
        <w:br/>
      </w:r>
    </w:p>
    <w:p w:rsidR="001A603A" w:rsidRPr="001A603A" w:rsidRDefault="001A603A" w:rsidP="001A603A">
      <w:pPr>
        <w:spacing w:after="0" w:line="405" w:lineRule="atLeast"/>
        <w:textAlignment w:val="baseline"/>
        <w:rPr>
          <w:rFonts w:ascii="Arial" w:eastAsia="Times New Roman" w:hAnsi="Arial" w:cs="Arial"/>
          <w:color w:val="303030"/>
          <w:sz w:val="27"/>
          <w:szCs w:val="27"/>
          <w:rtl/>
        </w:rPr>
      </w:pPr>
      <w:r w:rsidRPr="001A603A">
        <w:rPr>
          <w:rFonts w:ascii="Arial" w:eastAsia="Times New Roman" w:hAnsi="Arial" w:cs="Arial"/>
          <w:i/>
          <w:iCs/>
          <w:color w:val="222222"/>
          <w:sz w:val="27"/>
          <w:szCs w:val="27"/>
          <w:bdr w:val="none" w:sz="0" w:space="0" w:color="auto" w:frame="1"/>
          <w:rtl/>
        </w:rPr>
        <w:t>גדעון טיקוצקי הוא ראש החוג לספרות עברית באוניברסיטה העברית בירושלים.</w:t>
      </w:r>
    </w:p>
    <w:p w:rsidR="008E3F68" w:rsidRDefault="008E3F68">
      <w:pPr>
        <w:rPr>
          <w:rFonts w:hint="cs"/>
        </w:rPr>
      </w:pPr>
    </w:p>
    <w:sectPr w:rsidR="008E3F68" w:rsidSect="00904177">
      <w:headerReference w:type="default" r:id="rId7"/>
      <w:footerReference w:type="default" r:id="rId8"/>
      <w:pgSz w:w="11906" w:h="16838"/>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5495" w:rsidRDefault="005C5495" w:rsidP="001A603A">
      <w:pPr>
        <w:spacing w:after="0" w:line="240" w:lineRule="auto"/>
      </w:pPr>
      <w:r>
        <w:separator/>
      </w:r>
    </w:p>
  </w:endnote>
  <w:endnote w:type="continuationSeparator" w:id="0">
    <w:p w:rsidR="005C5495" w:rsidRDefault="005C5495" w:rsidP="001A60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603A" w:rsidRDefault="001A603A" w:rsidP="001A603A">
    <w:pPr>
      <w:pStyle w:val="Footer"/>
    </w:pPr>
  </w:p>
  <w:p w:rsidR="001A603A" w:rsidRDefault="001A603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5495" w:rsidRDefault="005C5495" w:rsidP="001A603A">
      <w:pPr>
        <w:spacing w:after="0" w:line="240" w:lineRule="auto"/>
      </w:pPr>
      <w:r>
        <w:separator/>
      </w:r>
    </w:p>
  </w:footnote>
  <w:footnote w:type="continuationSeparator" w:id="0">
    <w:p w:rsidR="005C5495" w:rsidRDefault="005C5495" w:rsidP="001A60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1123157184"/>
      <w:docPartObj>
        <w:docPartGallery w:val="Page Numbers (Top of Page)"/>
        <w:docPartUnique/>
      </w:docPartObj>
    </w:sdtPr>
    <w:sdtContent>
      <w:p w:rsidR="001A603A" w:rsidRDefault="001A603A">
        <w:pPr>
          <w:pStyle w:val="Header"/>
          <w:jc w:val="center"/>
        </w:pPr>
        <w:r>
          <w:fldChar w:fldCharType="begin"/>
        </w:r>
        <w:r>
          <w:instrText xml:space="preserve"> PAGE   \* MERGEFORMAT </w:instrText>
        </w:r>
        <w:r>
          <w:fldChar w:fldCharType="separate"/>
        </w:r>
        <w:r>
          <w:rPr>
            <w:noProof/>
            <w:rtl/>
          </w:rPr>
          <w:t>1</w:t>
        </w:r>
        <w:r>
          <w:rPr>
            <w:noProof/>
          </w:rPr>
          <w:fldChar w:fldCharType="end"/>
        </w:r>
      </w:p>
    </w:sdtContent>
  </w:sdt>
  <w:p w:rsidR="001A603A" w:rsidRDefault="001A603A" w:rsidP="001A603A">
    <w:pPr>
      <w:pStyle w:val="Header"/>
    </w:pPr>
    <w:r>
      <w:rPr>
        <w:rFonts w:hint="cs"/>
        <w:rtl/>
      </w:rPr>
      <w:t xml:space="preserve">גדעון טיקוצקי, אל אנטיגונה ומעבר לה                                                      הפנס, ספטמבר 2026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550074B"/>
    <w:multiLevelType w:val="multilevel"/>
    <w:tmpl w:val="F71EF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603A"/>
    <w:rsid w:val="001A603A"/>
    <w:rsid w:val="005C5495"/>
    <w:rsid w:val="008E3F68"/>
    <w:rsid w:val="00904177"/>
    <w:rsid w:val="00DA08A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1EF1B5-0CA4-4182-B92A-FB2D6FFBF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60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603A"/>
  </w:style>
  <w:style w:type="paragraph" w:styleId="Footer">
    <w:name w:val="footer"/>
    <w:basedOn w:val="Normal"/>
    <w:link w:val="FooterChar"/>
    <w:uiPriority w:val="99"/>
    <w:unhideWhenUsed/>
    <w:rsid w:val="001A60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60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7048192">
      <w:bodyDiv w:val="1"/>
      <w:marLeft w:val="0"/>
      <w:marRight w:val="0"/>
      <w:marTop w:val="0"/>
      <w:marBottom w:val="0"/>
      <w:divBdr>
        <w:top w:val="none" w:sz="0" w:space="0" w:color="auto"/>
        <w:left w:val="none" w:sz="0" w:space="0" w:color="auto"/>
        <w:bottom w:val="none" w:sz="0" w:space="0" w:color="auto"/>
        <w:right w:val="none" w:sz="0" w:space="0" w:color="auto"/>
      </w:divBdr>
      <w:divsChild>
        <w:div w:id="1463646183">
          <w:marLeft w:val="0"/>
          <w:marRight w:val="0"/>
          <w:marTop w:val="0"/>
          <w:marBottom w:val="0"/>
          <w:divBdr>
            <w:top w:val="none" w:sz="0" w:space="0" w:color="auto"/>
            <w:left w:val="none" w:sz="0" w:space="0" w:color="auto"/>
            <w:bottom w:val="none" w:sz="0" w:space="0" w:color="auto"/>
            <w:right w:val="none" w:sz="0" w:space="0" w:color="auto"/>
          </w:divBdr>
          <w:divsChild>
            <w:div w:id="497892982">
              <w:marLeft w:val="0"/>
              <w:marRight w:val="0"/>
              <w:marTop w:val="0"/>
              <w:marBottom w:val="0"/>
              <w:divBdr>
                <w:top w:val="none" w:sz="0" w:space="0" w:color="auto"/>
                <w:left w:val="none" w:sz="0" w:space="0" w:color="auto"/>
                <w:bottom w:val="none" w:sz="0" w:space="0" w:color="auto"/>
                <w:right w:val="none" w:sz="0" w:space="0" w:color="auto"/>
              </w:divBdr>
              <w:divsChild>
                <w:div w:id="1907260736">
                  <w:marLeft w:val="0"/>
                  <w:marRight w:val="0"/>
                  <w:marTop w:val="0"/>
                  <w:marBottom w:val="0"/>
                  <w:divBdr>
                    <w:top w:val="none" w:sz="0" w:space="0" w:color="auto"/>
                    <w:left w:val="none" w:sz="0" w:space="0" w:color="auto"/>
                    <w:bottom w:val="none" w:sz="0" w:space="0" w:color="auto"/>
                    <w:right w:val="none" w:sz="0" w:space="0" w:color="auto"/>
                  </w:divBdr>
                </w:div>
                <w:div w:id="226041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163186">
          <w:marLeft w:val="0"/>
          <w:marRight w:val="0"/>
          <w:marTop w:val="0"/>
          <w:marBottom w:val="0"/>
          <w:divBdr>
            <w:top w:val="none" w:sz="0" w:space="0" w:color="auto"/>
            <w:left w:val="none" w:sz="0" w:space="0" w:color="auto"/>
            <w:bottom w:val="none" w:sz="0" w:space="0" w:color="auto"/>
            <w:right w:val="none" w:sz="0" w:space="0" w:color="auto"/>
          </w:divBdr>
          <w:divsChild>
            <w:div w:id="1773014769">
              <w:marLeft w:val="0"/>
              <w:marRight w:val="0"/>
              <w:marTop w:val="0"/>
              <w:marBottom w:val="0"/>
              <w:divBdr>
                <w:top w:val="none" w:sz="0" w:space="0" w:color="auto"/>
                <w:left w:val="none" w:sz="0" w:space="0" w:color="auto"/>
                <w:bottom w:val="none" w:sz="0" w:space="0" w:color="auto"/>
                <w:right w:val="none" w:sz="0" w:space="0" w:color="auto"/>
              </w:divBdr>
              <w:divsChild>
                <w:div w:id="708071249">
                  <w:marLeft w:val="0"/>
                  <w:marRight w:val="0"/>
                  <w:marTop w:val="0"/>
                  <w:marBottom w:val="0"/>
                  <w:divBdr>
                    <w:top w:val="none" w:sz="0" w:space="0" w:color="auto"/>
                    <w:left w:val="none" w:sz="0" w:space="0" w:color="auto"/>
                    <w:bottom w:val="none" w:sz="0" w:space="0" w:color="auto"/>
                    <w:right w:val="none" w:sz="0" w:space="0" w:color="auto"/>
                  </w:divBdr>
                  <w:divsChild>
                    <w:div w:id="382683756">
                      <w:marLeft w:val="0"/>
                      <w:marRight w:val="0"/>
                      <w:marTop w:val="0"/>
                      <w:marBottom w:val="0"/>
                      <w:divBdr>
                        <w:top w:val="none" w:sz="0" w:space="0" w:color="auto"/>
                        <w:left w:val="none" w:sz="0" w:space="0" w:color="auto"/>
                        <w:bottom w:val="none" w:sz="0" w:space="0" w:color="auto"/>
                        <w:right w:val="none" w:sz="0" w:space="0" w:color="auto"/>
                      </w:divBdr>
                      <w:divsChild>
                        <w:div w:id="901260484">
                          <w:marLeft w:val="0"/>
                          <w:marRight w:val="0"/>
                          <w:marTop w:val="0"/>
                          <w:marBottom w:val="0"/>
                          <w:divBdr>
                            <w:top w:val="none" w:sz="0" w:space="0" w:color="auto"/>
                            <w:left w:val="none" w:sz="0" w:space="0" w:color="auto"/>
                            <w:bottom w:val="none" w:sz="0" w:space="0" w:color="auto"/>
                            <w:right w:val="none" w:sz="0" w:space="0" w:color="auto"/>
                          </w:divBdr>
                          <w:divsChild>
                            <w:div w:id="2078935175">
                              <w:marLeft w:val="0"/>
                              <w:marRight w:val="0"/>
                              <w:marTop w:val="0"/>
                              <w:marBottom w:val="0"/>
                              <w:divBdr>
                                <w:top w:val="none" w:sz="0" w:space="0" w:color="auto"/>
                                <w:left w:val="none" w:sz="0" w:space="0" w:color="auto"/>
                                <w:bottom w:val="none" w:sz="0" w:space="0" w:color="auto"/>
                                <w:right w:val="none" w:sz="0" w:space="0" w:color="auto"/>
                              </w:divBdr>
                              <w:divsChild>
                                <w:div w:id="368771383">
                                  <w:marLeft w:val="0"/>
                                  <w:marRight w:val="0"/>
                                  <w:marTop w:val="0"/>
                                  <w:marBottom w:val="0"/>
                                  <w:divBdr>
                                    <w:top w:val="none" w:sz="0" w:space="0" w:color="auto"/>
                                    <w:left w:val="none" w:sz="0" w:space="0" w:color="auto"/>
                                    <w:bottom w:val="none" w:sz="0" w:space="0" w:color="auto"/>
                                    <w:right w:val="none" w:sz="0" w:space="0" w:color="auto"/>
                                  </w:divBdr>
                                </w:div>
                                <w:div w:id="551161023">
                                  <w:marLeft w:val="0"/>
                                  <w:marRight w:val="0"/>
                                  <w:marTop w:val="0"/>
                                  <w:marBottom w:val="0"/>
                                  <w:divBdr>
                                    <w:top w:val="none" w:sz="0" w:space="0" w:color="auto"/>
                                    <w:left w:val="none" w:sz="0" w:space="0" w:color="auto"/>
                                    <w:bottom w:val="none" w:sz="0" w:space="0" w:color="auto"/>
                                    <w:right w:val="none" w:sz="0" w:space="0" w:color="auto"/>
                                  </w:divBdr>
                                </w:div>
                                <w:div w:id="281419950">
                                  <w:marLeft w:val="0"/>
                                  <w:marRight w:val="0"/>
                                  <w:marTop w:val="0"/>
                                  <w:marBottom w:val="0"/>
                                  <w:divBdr>
                                    <w:top w:val="none" w:sz="0" w:space="0" w:color="auto"/>
                                    <w:left w:val="none" w:sz="0" w:space="0" w:color="auto"/>
                                    <w:bottom w:val="none" w:sz="0" w:space="0" w:color="auto"/>
                                    <w:right w:val="none" w:sz="0" w:space="0" w:color="auto"/>
                                  </w:divBdr>
                                </w:div>
                                <w:div w:id="1028027158">
                                  <w:marLeft w:val="0"/>
                                  <w:marRight w:val="0"/>
                                  <w:marTop w:val="0"/>
                                  <w:marBottom w:val="0"/>
                                  <w:divBdr>
                                    <w:top w:val="none" w:sz="0" w:space="0" w:color="auto"/>
                                    <w:left w:val="none" w:sz="0" w:space="0" w:color="auto"/>
                                    <w:bottom w:val="none" w:sz="0" w:space="0" w:color="auto"/>
                                    <w:right w:val="none" w:sz="0" w:space="0" w:color="auto"/>
                                  </w:divBdr>
                                </w:div>
                                <w:div w:id="1205019993">
                                  <w:marLeft w:val="0"/>
                                  <w:marRight w:val="0"/>
                                  <w:marTop w:val="0"/>
                                  <w:marBottom w:val="0"/>
                                  <w:divBdr>
                                    <w:top w:val="none" w:sz="0" w:space="0" w:color="auto"/>
                                    <w:left w:val="none" w:sz="0" w:space="0" w:color="auto"/>
                                    <w:bottom w:val="none" w:sz="0" w:space="0" w:color="auto"/>
                                    <w:right w:val="none" w:sz="0" w:space="0" w:color="auto"/>
                                  </w:divBdr>
                                </w:div>
                                <w:div w:id="1524323054">
                                  <w:marLeft w:val="0"/>
                                  <w:marRight w:val="0"/>
                                  <w:marTop w:val="0"/>
                                  <w:marBottom w:val="0"/>
                                  <w:divBdr>
                                    <w:top w:val="none" w:sz="0" w:space="0" w:color="auto"/>
                                    <w:left w:val="none" w:sz="0" w:space="0" w:color="auto"/>
                                    <w:bottom w:val="none" w:sz="0" w:space="0" w:color="auto"/>
                                    <w:right w:val="none" w:sz="0" w:space="0" w:color="auto"/>
                                  </w:divBdr>
                                  <w:divsChild>
                                    <w:div w:id="1779643455">
                                      <w:marLeft w:val="0"/>
                                      <w:marRight w:val="0"/>
                                      <w:marTop w:val="0"/>
                                      <w:marBottom w:val="0"/>
                                      <w:divBdr>
                                        <w:top w:val="none" w:sz="0" w:space="0" w:color="auto"/>
                                        <w:left w:val="none" w:sz="0" w:space="0" w:color="auto"/>
                                        <w:bottom w:val="none" w:sz="0" w:space="0" w:color="auto"/>
                                        <w:right w:val="none" w:sz="0" w:space="0" w:color="auto"/>
                                      </w:divBdr>
                                    </w:div>
                                  </w:divsChild>
                                </w:div>
                                <w:div w:id="472991630">
                                  <w:marLeft w:val="0"/>
                                  <w:marRight w:val="0"/>
                                  <w:marTop w:val="0"/>
                                  <w:marBottom w:val="0"/>
                                  <w:divBdr>
                                    <w:top w:val="none" w:sz="0" w:space="0" w:color="auto"/>
                                    <w:left w:val="none" w:sz="0" w:space="0" w:color="auto"/>
                                    <w:bottom w:val="none" w:sz="0" w:space="0" w:color="auto"/>
                                    <w:right w:val="none" w:sz="0" w:space="0" w:color="auto"/>
                                  </w:divBdr>
                                </w:div>
                                <w:div w:id="653531158">
                                  <w:marLeft w:val="0"/>
                                  <w:marRight w:val="0"/>
                                  <w:marTop w:val="0"/>
                                  <w:marBottom w:val="0"/>
                                  <w:divBdr>
                                    <w:top w:val="none" w:sz="0" w:space="0" w:color="auto"/>
                                    <w:left w:val="none" w:sz="0" w:space="0" w:color="auto"/>
                                    <w:bottom w:val="none" w:sz="0" w:space="0" w:color="auto"/>
                                    <w:right w:val="none" w:sz="0" w:space="0" w:color="auto"/>
                                  </w:divBdr>
                                </w:div>
                                <w:div w:id="1931154871">
                                  <w:marLeft w:val="0"/>
                                  <w:marRight w:val="0"/>
                                  <w:marTop w:val="0"/>
                                  <w:marBottom w:val="0"/>
                                  <w:divBdr>
                                    <w:top w:val="none" w:sz="0" w:space="0" w:color="auto"/>
                                    <w:left w:val="none" w:sz="0" w:space="0" w:color="auto"/>
                                    <w:bottom w:val="none" w:sz="0" w:space="0" w:color="auto"/>
                                    <w:right w:val="none" w:sz="0" w:space="0" w:color="auto"/>
                                  </w:divBdr>
                                  <w:divsChild>
                                    <w:div w:id="391077784">
                                      <w:marLeft w:val="0"/>
                                      <w:marRight w:val="0"/>
                                      <w:marTop w:val="0"/>
                                      <w:marBottom w:val="0"/>
                                      <w:divBdr>
                                        <w:top w:val="none" w:sz="0" w:space="0" w:color="auto"/>
                                        <w:left w:val="none" w:sz="0" w:space="0" w:color="auto"/>
                                        <w:bottom w:val="none" w:sz="0" w:space="0" w:color="auto"/>
                                        <w:right w:val="none" w:sz="0" w:space="0" w:color="auto"/>
                                      </w:divBdr>
                                    </w:div>
                                  </w:divsChild>
                                </w:div>
                                <w:div w:id="177622967">
                                  <w:marLeft w:val="0"/>
                                  <w:marRight w:val="0"/>
                                  <w:marTop w:val="0"/>
                                  <w:marBottom w:val="0"/>
                                  <w:divBdr>
                                    <w:top w:val="none" w:sz="0" w:space="0" w:color="auto"/>
                                    <w:left w:val="none" w:sz="0" w:space="0" w:color="auto"/>
                                    <w:bottom w:val="none" w:sz="0" w:space="0" w:color="auto"/>
                                    <w:right w:val="none" w:sz="0" w:space="0" w:color="auto"/>
                                  </w:divBdr>
                                </w:div>
                                <w:div w:id="1805928320">
                                  <w:marLeft w:val="0"/>
                                  <w:marRight w:val="0"/>
                                  <w:marTop w:val="0"/>
                                  <w:marBottom w:val="0"/>
                                  <w:divBdr>
                                    <w:top w:val="none" w:sz="0" w:space="0" w:color="auto"/>
                                    <w:left w:val="none" w:sz="0" w:space="0" w:color="auto"/>
                                    <w:bottom w:val="none" w:sz="0" w:space="0" w:color="auto"/>
                                    <w:right w:val="none" w:sz="0" w:space="0" w:color="auto"/>
                                  </w:divBdr>
                                  <w:divsChild>
                                    <w:div w:id="1307204357">
                                      <w:marLeft w:val="0"/>
                                      <w:marRight w:val="0"/>
                                      <w:marTop w:val="0"/>
                                      <w:marBottom w:val="0"/>
                                      <w:divBdr>
                                        <w:top w:val="none" w:sz="0" w:space="0" w:color="auto"/>
                                        <w:left w:val="none" w:sz="0" w:space="0" w:color="auto"/>
                                        <w:bottom w:val="none" w:sz="0" w:space="0" w:color="auto"/>
                                        <w:right w:val="none" w:sz="0" w:space="0" w:color="auto"/>
                                      </w:divBdr>
                                    </w:div>
                                  </w:divsChild>
                                </w:div>
                                <w:div w:id="606890530">
                                  <w:marLeft w:val="0"/>
                                  <w:marRight w:val="0"/>
                                  <w:marTop w:val="0"/>
                                  <w:marBottom w:val="0"/>
                                  <w:divBdr>
                                    <w:top w:val="none" w:sz="0" w:space="0" w:color="auto"/>
                                    <w:left w:val="none" w:sz="0" w:space="0" w:color="auto"/>
                                    <w:bottom w:val="none" w:sz="0" w:space="0" w:color="auto"/>
                                    <w:right w:val="none" w:sz="0" w:space="0" w:color="auto"/>
                                  </w:divBdr>
                                </w:div>
                                <w:div w:id="2131364142">
                                  <w:marLeft w:val="0"/>
                                  <w:marRight w:val="0"/>
                                  <w:marTop w:val="0"/>
                                  <w:marBottom w:val="0"/>
                                  <w:divBdr>
                                    <w:top w:val="none" w:sz="0" w:space="0" w:color="auto"/>
                                    <w:left w:val="none" w:sz="0" w:space="0" w:color="auto"/>
                                    <w:bottom w:val="none" w:sz="0" w:space="0" w:color="auto"/>
                                    <w:right w:val="none" w:sz="0" w:space="0" w:color="auto"/>
                                  </w:divBdr>
                                  <w:divsChild>
                                    <w:div w:id="1075129934">
                                      <w:marLeft w:val="0"/>
                                      <w:marRight w:val="0"/>
                                      <w:marTop w:val="0"/>
                                      <w:marBottom w:val="0"/>
                                      <w:divBdr>
                                        <w:top w:val="none" w:sz="0" w:space="0" w:color="auto"/>
                                        <w:left w:val="none" w:sz="0" w:space="0" w:color="auto"/>
                                        <w:bottom w:val="none" w:sz="0" w:space="0" w:color="auto"/>
                                        <w:right w:val="none" w:sz="0" w:space="0" w:color="auto"/>
                                      </w:divBdr>
                                    </w:div>
                                  </w:divsChild>
                                </w:div>
                                <w:div w:id="857233013">
                                  <w:marLeft w:val="0"/>
                                  <w:marRight w:val="0"/>
                                  <w:marTop w:val="0"/>
                                  <w:marBottom w:val="0"/>
                                  <w:divBdr>
                                    <w:top w:val="none" w:sz="0" w:space="0" w:color="auto"/>
                                    <w:left w:val="none" w:sz="0" w:space="0" w:color="auto"/>
                                    <w:bottom w:val="none" w:sz="0" w:space="0" w:color="auto"/>
                                    <w:right w:val="none" w:sz="0" w:space="0" w:color="auto"/>
                                  </w:divBdr>
                                </w:div>
                                <w:div w:id="1986733606">
                                  <w:marLeft w:val="0"/>
                                  <w:marRight w:val="0"/>
                                  <w:marTop w:val="0"/>
                                  <w:marBottom w:val="0"/>
                                  <w:divBdr>
                                    <w:top w:val="none" w:sz="0" w:space="0" w:color="auto"/>
                                    <w:left w:val="none" w:sz="0" w:space="0" w:color="auto"/>
                                    <w:bottom w:val="none" w:sz="0" w:space="0" w:color="auto"/>
                                    <w:right w:val="none" w:sz="0" w:space="0" w:color="auto"/>
                                  </w:divBdr>
                                </w:div>
                                <w:div w:id="252393823">
                                  <w:marLeft w:val="0"/>
                                  <w:marRight w:val="0"/>
                                  <w:marTop w:val="0"/>
                                  <w:marBottom w:val="0"/>
                                  <w:divBdr>
                                    <w:top w:val="none" w:sz="0" w:space="0" w:color="auto"/>
                                    <w:left w:val="none" w:sz="0" w:space="0" w:color="auto"/>
                                    <w:bottom w:val="none" w:sz="0" w:space="0" w:color="auto"/>
                                    <w:right w:val="none" w:sz="0" w:space="0" w:color="auto"/>
                                  </w:divBdr>
                                </w:div>
                                <w:div w:id="71238406">
                                  <w:marLeft w:val="0"/>
                                  <w:marRight w:val="0"/>
                                  <w:marTop w:val="0"/>
                                  <w:marBottom w:val="0"/>
                                  <w:divBdr>
                                    <w:top w:val="none" w:sz="0" w:space="0" w:color="auto"/>
                                    <w:left w:val="none" w:sz="0" w:space="0" w:color="auto"/>
                                    <w:bottom w:val="none" w:sz="0" w:space="0" w:color="auto"/>
                                    <w:right w:val="none" w:sz="0" w:space="0" w:color="auto"/>
                                  </w:divBdr>
                                </w:div>
                                <w:div w:id="321588667">
                                  <w:marLeft w:val="0"/>
                                  <w:marRight w:val="0"/>
                                  <w:marTop w:val="0"/>
                                  <w:marBottom w:val="0"/>
                                  <w:divBdr>
                                    <w:top w:val="none" w:sz="0" w:space="0" w:color="auto"/>
                                    <w:left w:val="none" w:sz="0" w:space="0" w:color="auto"/>
                                    <w:bottom w:val="none" w:sz="0" w:space="0" w:color="auto"/>
                                    <w:right w:val="none" w:sz="0" w:space="0" w:color="auto"/>
                                  </w:divBdr>
                                </w:div>
                                <w:div w:id="2135976561">
                                  <w:marLeft w:val="0"/>
                                  <w:marRight w:val="0"/>
                                  <w:marTop w:val="0"/>
                                  <w:marBottom w:val="0"/>
                                  <w:divBdr>
                                    <w:top w:val="none" w:sz="0" w:space="0" w:color="auto"/>
                                    <w:left w:val="none" w:sz="0" w:space="0" w:color="auto"/>
                                    <w:bottom w:val="none" w:sz="0" w:space="0" w:color="auto"/>
                                    <w:right w:val="none" w:sz="0" w:space="0" w:color="auto"/>
                                  </w:divBdr>
                                  <w:divsChild>
                                    <w:div w:id="1400516851">
                                      <w:marLeft w:val="0"/>
                                      <w:marRight w:val="0"/>
                                      <w:marTop w:val="0"/>
                                      <w:marBottom w:val="0"/>
                                      <w:divBdr>
                                        <w:top w:val="none" w:sz="0" w:space="0" w:color="auto"/>
                                        <w:left w:val="none" w:sz="0" w:space="0" w:color="auto"/>
                                        <w:bottom w:val="none" w:sz="0" w:space="0" w:color="auto"/>
                                        <w:right w:val="none" w:sz="0" w:space="0" w:color="auto"/>
                                      </w:divBdr>
                                    </w:div>
                                  </w:divsChild>
                                </w:div>
                                <w:div w:id="501967579">
                                  <w:marLeft w:val="0"/>
                                  <w:marRight w:val="0"/>
                                  <w:marTop w:val="0"/>
                                  <w:marBottom w:val="0"/>
                                  <w:divBdr>
                                    <w:top w:val="none" w:sz="0" w:space="0" w:color="auto"/>
                                    <w:left w:val="none" w:sz="0" w:space="0" w:color="auto"/>
                                    <w:bottom w:val="none" w:sz="0" w:space="0" w:color="auto"/>
                                    <w:right w:val="none" w:sz="0" w:space="0" w:color="auto"/>
                                  </w:divBdr>
                                </w:div>
                                <w:div w:id="2058971450">
                                  <w:marLeft w:val="0"/>
                                  <w:marRight w:val="0"/>
                                  <w:marTop w:val="0"/>
                                  <w:marBottom w:val="0"/>
                                  <w:divBdr>
                                    <w:top w:val="none" w:sz="0" w:space="0" w:color="auto"/>
                                    <w:left w:val="none" w:sz="0" w:space="0" w:color="auto"/>
                                    <w:bottom w:val="none" w:sz="0" w:space="0" w:color="auto"/>
                                    <w:right w:val="none" w:sz="0" w:space="0" w:color="auto"/>
                                  </w:divBdr>
                                  <w:divsChild>
                                    <w:div w:id="1793786940">
                                      <w:marLeft w:val="0"/>
                                      <w:marRight w:val="0"/>
                                      <w:marTop w:val="0"/>
                                      <w:marBottom w:val="0"/>
                                      <w:divBdr>
                                        <w:top w:val="none" w:sz="0" w:space="0" w:color="auto"/>
                                        <w:left w:val="none" w:sz="0" w:space="0" w:color="auto"/>
                                        <w:bottom w:val="none" w:sz="0" w:space="0" w:color="auto"/>
                                        <w:right w:val="none" w:sz="0" w:space="0" w:color="auto"/>
                                      </w:divBdr>
                                    </w:div>
                                  </w:divsChild>
                                </w:div>
                                <w:div w:id="2038192829">
                                  <w:marLeft w:val="0"/>
                                  <w:marRight w:val="0"/>
                                  <w:marTop w:val="0"/>
                                  <w:marBottom w:val="0"/>
                                  <w:divBdr>
                                    <w:top w:val="none" w:sz="0" w:space="0" w:color="auto"/>
                                    <w:left w:val="none" w:sz="0" w:space="0" w:color="auto"/>
                                    <w:bottom w:val="none" w:sz="0" w:space="0" w:color="auto"/>
                                    <w:right w:val="none" w:sz="0" w:space="0" w:color="auto"/>
                                  </w:divBdr>
                                </w:div>
                                <w:div w:id="753088860">
                                  <w:marLeft w:val="0"/>
                                  <w:marRight w:val="0"/>
                                  <w:marTop w:val="0"/>
                                  <w:marBottom w:val="0"/>
                                  <w:divBdr>
                                    <w:top w:val="none" w:sz="0" w:space="0" w:color="auto"/>
                                    <w:left w:val="none" w:sz="0" w:space="0" w:color="auto"/>
                                    <w:bottom w:val="none" w:sz="0" w:space="0" w:color="auto"/>
                                    <w:right w:val="none" w:sz="0" w:space="0" w:color="auto"/>
                                  </w:divBdr>
                                </w:div>
                                <w:div w:id="97872709">
                                  <w:marLeft w:val="0"/>
                                  <w:marRight w:val="0"/>
                                  <w:marTop w:val="0"/>
                                  <w:marBottom w:val="0"/>
                                  <w:divBdr>
                                    <w:top w:val="none" w:sz="0" w:space="0" w:color="auto"/>
                                    <w:left w:val="none" w:sz="0" w:space="0" w:color="auto"/>
                                    <w:bottom w:val="none" w:sz="0" w:space="0" w:color="auto"/>
                                    <w:right w:val="none" w:sz="0" w:space="0" w:color="auto"/>
                                  </w:divBdr>
                                </w:div>
                                <w:div w:id="1859389628">
                                  <w:marLeft w:val="0"/>
                                  <w:marRight w:val="0"/>
                                  <w:marTop w:val="0"/>
                                  <w:marBottom w:val="0"/>
                                  <w:divBdr>
                                    <w:top w:val="none" w:sz="0" w:space="0" w:color="auto"/>
                                    <w:left w:val="none" w:sz="0" w:space="0" w:color="auto"/>
                                    <w:bottom w:val="none" w:sz="0" w:space="0" w:color="auto"/>
                                    <w:right w:val="none" w:sz="0" w:space="0" w:color="auto"/>
                                  </w:divBdr>
                                </w:div>
                                <w:div w:id="511457236">
                                  <w:marLeft w:val="0"/>
                                  <w:marRight w:val="0"/>
                                  <w:marTop w:val="0"/>
                                  <w:marBottom w:val="0"/>
                                  <w:divBdr>
                                    <w:top w:val="none" w:sz="0" w:space="0" w:color="auto"/>
                                    <w:left w:val="none" w:sz="0" w:space="0" w:color="auto"/>
                                    <w:bottom w:val="none" w:sz="0" w:space="0" w:color="auto"/>
                                    <w:right w:val="none" w:sz="0" w:space="0" w:color="auto"/>
                                  </w:divBdr>
                                  <w:divsChild>
                                    <w:div w:id="738480685">
                                      <w:marLeft w:val="0"/>
                                      <w:marRight w:val="0"/>
                                      <w:marTop w:val="0"/>
                                      <w:marBottom w:val="0"/>
                                      <w:divBdr>
                                        <w:top w:val="none" w:sz="0" w:space="0" w:color="auto"/>
                                        <w:left w:val="none" w:sz="0" w:space="0" w:color="auto"/>
                                        <w:bottom w:val="none" w:sz="0" w:space="0" w:color="auto"/>
                                        <w:right w:val="none" w:sz="0" w:space="0" w:color="auto"/>
                                      </w:divBdr>
                                    </w:div>
                                  </w:divsChild>
                                </w:div>
                                <w:div w:id="1300917608">
                                  <w:marLeft w:val="0"/>
                                  <w:marRight w:val="0"/>
                                  <w:marTop w:val="0"/>
                                  <w:marBottom w:val="0"/>
                                  <w:divBdr>
                                    <w:top w:val="none" w:sz="0" w:space="0" w:color="auto"/>
                                    <w:left w:val="none" w:sz="0" w:space="0" w:color="auto"/>
                                    <w:bottom w:val="none" w:sz="0" w:space="0" w:color="auto"/>
                                    <w:right w:val="none" w:sz="0" w:space="0" w:color="auto"/>
                                  </w:divBdr>
                                </w:div>
                                <w:div w:id="1800565681">
                                  <w:marLeft w:val="0"/>
                                  <w:marRight w:val="0"/>
                                  <w:marTop w:val="0"/>
                                  <w:marBottom w:val="0"/>
                                  <w:divBdr>
                                    <w:top w:val="none" w:sz="0" w:space="0" w:color="auto"/>
                                    <w:left w:val="none" w:sz="0" w:space="0" w:color="auto"/>
                                    <w:bottom w:val="none" w:sz="0" w:space="0" w:color="auto"/>
                                    <w:right w:val="none" w:sz="0" w:space="0" w:color="auto"/>
                                  </w:divBdr>
                                  <w:divsChild>
                                    <w:div w:id="1746999207">
                                      <w:marLeft w:val="0"/>
                                      <w:marRight w:val="0"/>
                                      <w:marTop w:val="0"/>
                                      <w:marBottom w:val="0"/>
                                      <w:divBdr>
                                        <w:top w:val="none" w:sz="0" w:space="0" w:color="auto"/>
                                        <w:left w:val="none" w:sz="0" w:space="0" w:color="auto"/>
                                        <w:bottom w:val="none" w:sz="0" w:space="0" w:color="auto"/>
                                        <w:right w:val="none" w:sz="0" w:space="0" w:color="auto"/>
                                      </w:divBdr>
                                    </w:div>
                                  </w:divsChild>
                                </w:div>
                                <w:div w:id="1698000801">
                                  <w:marLeft w:val="0"/>
                                  <w:marRight w:val="0"/>
                                  <w:marTop w:val="0"/>
                                  <w:marBottom w:val="0"/>
                                  <w:divBdr>
                                    <w:top w:val="none" w:sz="0" w:space="0" w:color="auto"/>
                                    <w:left w:val="none" w:sz="0" w:space="0" w:color="auto"/>
                                    <w:bottom w:val="none" w:sz="0" w:space="0" w:color="auto"/>
                                    <w:right w:val="none" w:sz="0" w:space="0" w:color="auto"/>
                                  </w:divBdr>
                                </w:div>
                                <w:div w:id="1383942372">
                                  <w:marLeft w:val="0"/>
                                  <w:marRight w:val="0"/>
                                  <w:marTop w:val="0"/>
                                  <w:marBottom w:val="0"/>
                                  <w:divBdr>
                                    <w:top w:val="none" w:sz="0" w:space="0" w:color="auto"/>
                                    <w:left w:val="none" w:sz="0" w:space="0" w:color="auto"/>
                                    <w:bottom w:val="none" w:sz="0" w:space="0" w:color="auto"/>
                                    <w:right w:val="none" w:sz="0" w:space="0" w:color="auto"/>
                                  </w:divBdr>
                                  <w:divsChild>
                                    <w:div w:id="421033090">
                                      <w:marLeft w:val="0"/>
                                      <w:marRight w:val="0"/>
                                      <w:marTop w:val="0"/>
                                      <w:marBottom w:val="0"/>
                                      <w:divBdr>
                                        <w:top w:val="none" w:sz="0" w:space="0" w:color="auto"/>
                                        <w:left w:val="none" w:sz="0" w:space="0" w:color="auto"/>
                                        <w:bottom w:val="none" w:sz="0" w:space="0" w:color="auto"/>
                                        <w:right w:val="none" w:sz="0" w:space="0" w:color="auto"/>
                                      </w:divBdr>
                                    </w:div>
                                  </w:divsChild>
                                </w:div>
                                <w:div w:id="1972438362">
                                  <w:marLeft w:val="0"/>
                                  <w:marRight w:val="0"/>
                                  <w:marTop w:val="0"/>
                                  <w:marBottom w:val="0"/>
                                  <w:divBdr>
                                    <w:top w:val="none" w:sz="0" w:space="0" w:color="auto"/>
                                    <w:left w:val="none" w:sz="0" w:space="0" w:color="auto"/>
                                    <w:bottom w:val="none" w:sz="0" w:space="0" w:color="auto"/>
                                    <w:right w:val="none" w:sz="0" w:space="0" w:color="auto"/>
                                  </w:divBdr>
                                </w:div>
                                <w:div w:id="1859539259">
                                  <w:marLeft w:val="0"/>
                                  <w:marRight w:val="0"/>
                                  <w:marTop w:val="0"/>
                                  <w:marBottom w:val="0"/>
                                  <w:divBdr>
                                    <w:top w:val="none" w:sz="0" w:space="0" w:color="auto"/>
                                    <w:left w:val="none" w:sz="0" w:space="0" w:color="auto"/>
                                    <w:bottom w:val="none" w:sz="0" w:space="0" w:color="auto"/>
                                    <w:right w:val="none" w:sz="0" w:space="0" w:color="auto"/>
                                  </w:divBdr>
                                  <w:divsChild>
                                    <w:div w:id="1359234553">
                                      <w:marLeft w:val="0"/>
                                      <w:marRight w:val="0"/>
                                      <w:marTop w:val="0"/>
                                      <w:marBottom w:val="0"/>
                                      <w:divBdr>
                                        <w:top w:val="none" w:sz="0" w:space="0" w:color="auto"/>
                                        <w:left w:val="none" w:sz="0" w:space="0" w:color="auto"/>
                                        <w:bottom w:val="none" w:sz="0" w:space="0" w:color="auto"/>
                                        <w:right w:val="none" w:sz="0" w:space="0" w:color="auto"/>
                                      </w:divBdr>
                                    </w:div>
                                  </w:divsChild>
                                </w:div>
                                <w:div w:id="1928271943">
                                  <w:marLeft w:val="0"/>
                                  <w:marRight w:val="0"/>
                                  <w:marTop w:val="0"/>
                                  <w:marBottom w:val="0"/>
                                  <w:divBdr>
                                    <w:top w:val="none" w:sz="0" w:space="0" w:color="auto"/>
                                    <w:left w:val="none" w:sz="0" w:space="0" w:color="auto"/>
                                    <w:bottom w:val="none" w:sz="0" w:space="0" w:color="auto"/>
                                    <w:right w:val="none" w:sz="0" w:space="0" w:color="auto"/>
                                  </w:divBdr>
                                </w:div>
                                <w:div w:id="1613783690">
                                  <w:marLeft w:val="0"/>
                                  <w:marRight w:val="0"/>
                                  <w:marTop w:val="0"/>
                                  <w:marBottom w:val="0"/>
                                  <w:divBdr>
                                    <w:top w:val="none" w:sz="0" w:space="0" w:color="auto"/>
                                    <w:left w:val="none" w:sz="0" w:space="0" w:color="auto"/>
                                    <w:bottom w:val="none" w:sz="0" w:space="0" w:color="auto"/>
                                    <w:right w:val="none" w:sz="0" w:space="0" w:color="auto"/>
                                  </w:divBdr>
                                  <w:divsChild>
                                    <w:div w:id="1604267714">
                                      <w:marLeft w:val="0"/>
                                      <w:marRight w:val="0"/>
                                      <w:marTop w:val="0"/>
                                      <w:marBottom w:val="0"/>
                                      <w:divBdr>
                                        <w:top w:val="none" w:sz="0" w:space="0" w:color="auto"/>
                                        <w:left w:val="none" w:sz="0" w:space="0" w:color="auto"/>
                                        <w:bottom w:val="none" w:sz="0" w:space="0" w:color="auto"/>
                                        <w:right w:val="none" w:sz="0" w:space="0" w:color="auto"/>
                                      </w:divBdr>
                                    </w:div>
                                  </w:divsChild>
                                </w:div>
                                <w:div w:id="2086799070">
                                  <w:marLeft w:val="0"/>
                                  <w:marRight w:val="0"/>
                                  <w:marTop w:val="0"/>
                                  <w:marBottom w:val="0"/>
                                  <w:divBdr>
                                    <w:top w:val="none" w:sz="0" w:space="0" w:color="auto"/>
                                    <w:left w:val="none" w:sz="0" w:space="0" w:color="auto"/>
                                    <w:bottom w:val="none" w:sz="0" w:space="0" w:color="auto"/>
                                    <w:right w:val="none" w:sz="0" w:space="0" w:color="auto"/>
                                  </w:divBdr>
                                </w:div>
                                <w:div w:id="678315719">
                                  <w:marLeft w:val="0"/>
                                  <w:marRight w:val="0"/>
                                  <w:marTop w:val="0"/>
                                  <w:marBottom w:val="0"/>
                                  <w:divBdr>
                                    <w:top w:val="none" w:sz="0" w:space="0" w:color="auto"/>
                                    <w:left w:val="none" w:sz="0" w:space="0" w:color="auto"/>
                                    <w:bottom w:val="none" w:sz="0" w:space="0" w:color="auto"/>
                                    <w:right w:val="none" w:sz="0" w:space="0" w:color="auto"/>
                                  </w:divBdr>
                                  <w:divsChild>
                                    <w:div w:id="2086297481">
                                      <w:marLeft w:val="0"/>
                                      <w:marRight w:val="0"/>
                                      <w:marTop w:val="0"/>
                                      <w:marBottom w:val="0"/>
                                      <w:divBdr>
                                        <w:top w:val="none" w:sz="0" w:space="0" w:color="auto"/>
                                        <w:left w:val="none" w:sz="0" w:space="0" w:color="auto"/>
                                        <w:bottom w:val="none" w:sz="0" w:space="0" w:color="auto"/>
                                        <w:right w:val="none" w:sz="0" w:space="0" w:color="auto"/>
                                      </w:divBdr>
                                    </w:div>
                                  </w:divsChild>
                                </w:div>
                                <w:div w:id="2063678083">
                                  <w:marLeft w:val="0"/>
                                  <w:marRight w:val="0"/>
                                  <w:marTop w:val="0"/>
                                  <w:marBottom w:val="0"/>
                                  <w:divBdr>
                                    <w:top w:val="none" w:sz="0" w:space="0" w:color="auto"/>
                                    <w:left w:val="none" w:sz="0" w:space="0" w:color="auto"/>
                                    <w:bottom w:val="none" w:sz="0" w:space="0" w:color="auto"/>
                                    <w:right w:val="none" w:sz="0" w:space="0" w:color="auto"/>
                                  </w:divBdr>
                                  <w:divsChild>
                                    <w:div w:id="286475766">
                                      <w:marLeft w:val="0"/>
                                      <w:marRight w:val="0"/>
                                      <w:marTop w:val="0"/>
                                      <w:marBottom w:val="0"/>
                                      <w:divBdr>
                                        <w:top w:val="none" w:sz="0" w:space="0" w:color="auto"/>
                                        <w:left w:val="none" w:sz="0" w:space="0" w:color="auto"/>
                                        <w:bottom w:val="none" w:sz="0" w:space="0" w:color="auto"/>
                                        <w:right w:val="none" w:sz="0" w:space="0" w:color="auto"/>
                                      </w:divBdr>
                                      <w:divsChild>
                                        <w:div w:id="1374189907">
                                          <w:marLeft w:val="0"/>
                                          <w:marRight w:val="0"/>
                                          <w:marTop w:val="0"/>
                                          <w:marBottom w:val="0"/>
                                          <w:divBdr>
                                            <w:top w:val="none" w:sz="0" w:space="0" w:color="auto"/>
                                            <w:left w:val="none" w:sz="0" w:space="0" w:color="auto"/>
                                            <w:bottom w:val="none" w:sz="0" w:space="0" w:color="auto"/>
                                            <w:right w:val="none" w:sz="0" w:space="0" w:color="auto"/>
                                          </w:divBdr>
                                          <w:divsChild>
                                            <w:div w:id="922295000">
                                              <w:marLeft w:val="0"/>
                                              <w:marRight w:val="0"/>
                                              <w:marTop w:val="0"/>
                                              <w:marBottom w:val="0"/>
                                              <w:divBdr>
                                                <w:top w:val="none" w:sz="0" w:space="0" w:color="auto"/>
                                                <w:left w:val="none" w:sz="0" w:space="0" w:color="auto"/>
                                                <w:bottom w:val="none" w:sz="0" w:space="0" w:color="auto"/>
                                                <w:right w:val="none" w:sz="0" w:space="0" w:color="auto"/>
                                              </w:divBdr>
                                              <w:divsChild>
                                                <w:div w:id="297031037">
                                                  <w:marLeft w:val="0"/>
                                                  <w:marRight w:val="0"/>
                                                  <w:marTop w:val="0"/>
                                                  <w:marBottom w:val="0"/>
                                                  <w:divBdr>
                                                    <w:top w:val="none" w:sz="0" w:space="0" w:color="auto"/>
                                                    <w:left w:val="none" w:sz="0" w:space="0" w:color="auto"/>
                                                    <w:bottom w:val="none" w:sz="0" w:space="0" w:color="auto"/>
                                                    <w:right w:val="none" w:sz="0" w:space="0" w:color="auto"/>
                                                  </w:divBdr>
                                                  <w:divsChild>
                                                    <w:div w:id="1763378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7031297">
                                  <w:marLeft w:val="0"/>
                                  <w:marRight w:val="0"/>
                                  <w:marTop w:val="0"/>
                                  <w:marBottom w:val="0"/>
                                  <w:divBdr>
                                    <w:top w:val="none" w:sz="0" w:space="0" w:color="auto"/>
                                    <w:left w:val="none" w:sz="0" w:space="0" w:color="auto"/>
                                    <w:bottom w:val="none" w:sz="0" w:space="0" w:color="auto"/>
                                    <w:right w:val="none" w:sz="0" w:space="0" w:color="auto"/>
                                  </w:divBdr>
                                </w:div>
                                <w:div w:id="116597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23B0"/>
    <w:rsid w:val="00346527"/>
    <w:rsid w:val="00DB23B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86AC2A1EACD4CE086B009EF1AB6A06B">
    <w:name w:val="D86AC2A1EACD4CE086B009EF1AB6A06B"/>
    <w:rsid w:val="00DB23B0"/>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1267</Words>
  <Characters>6338</Characters>
  <Application>Microsoft Office Word</Application>
  <DocSecurity>0</DocSecurity>
  <Lines>52</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michal.govrin@outlook.com</dc:creator>
  <cp:keywords/>
  <dc:description/>
  <cp:lastModifiedBy>michal.govrin@outlook.com</cp:lastModifiedBy>
  <cp:revision>1</cp:revision>
  <dcterms:created xsi:type="dcterms:W3CDTF">2026-08-30T17:24:00Z</dcterms:created>
  <dcterms:modified xsi:type="dcterms:W3CDTF">2026-08-30T17:29:00Z</dcterms:modified>
</cp:coreProperties>
</file>